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CA959">
      <w:pPr>
        <w:ind w:firstLine="3373" w:firstLineChars="1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协议书</w:t>
      </w:r>
    </w:p>
    <w:p w14:paraId="541AEEEC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就北京三汇能环科技发展有限公司（统一社会信用代码91110106666295220C）（以下简称三汇）起诉漆京湘（身份证110223196709040025） 服务合同纠纷一案，案号（2023）京0105民初10771号，现双方在法院调解下达成和解，并协议如下。</w:t>
      </w:r>
    </w:p>
    <w:p w14:paraId="028581BB">
      <w:pPr>
        <w:pStyle w:val="4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三汇同意将该案向朝阳区人民法院提请撤诉。并承诺不再以该事件该缘由，对其向漆京湘所居住的和乔丽晶公寓D502和D503提供的制冷费按照和解数额支付事宜（具体数额见支付收据）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进行日后的诉告。</w:t>
      </w:r>
    </w:p>
    <w:p w14:paraId="0FFEE138">
      <w:pPr>
        <w:pStyle w:val="4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双方同意将2019年至2023年期间和乔丽晶公寓D502/D503产生的制冷费，一并按照和解数额一次性支付给三汇。和解数额为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12077.1元</w:t>
      </w:r>
      <w:r>
        <w:rPr>
          <w:rFonts w:hint="eastAsia" w:ascii="宋体" w:hAnsi="宋体" w:eastAsia="宋体" w:cs="宋体"/>
          <w:sz w:val="28"/>
          <w:szCs w:val="28"/>
        </w:rPr>
        <w:t>人民币。</w:t>
      </w:r>
    </w:p>
    <w:p w14:paraId="2F3FECE4">
      <w:pPr>
        <w:pStyle w:val="4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三汇在其服务期间，不得以任何理由强制关闭D502/D503的制冷设施。</w:t>
      </w:r>
    </w:p>
    <w:p w14:paraId="6080BEDE">
      <w:pPr>
        <w:pStyle w:val="4"/>
        <w:numPr>
          <w:ilvl w:val="0"/>
          <w:numId w:val="1"/>
        </w:numPr>
        <w:ind w:firstLineChars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关于自2024年起，至三汇合同服务期满期间的，针对漆京湘名下和乔丽晶公寓D502/D503制冷费的收取方式和定价，双方达成一致：足月（非特指自然月）使用的按照月付定价支付；非足月使用期间，按照计量数额，按照双方达成的和解折扣进行计费支付。</w:t>
      </w:r>
    </w:p>
    <w:p w14:paraId="1117A3D0">
      <w:pPr>
        <w:pStyle w:val="4"/>
        <w:ind w:left="720" w:firstLine="2800" w:firstLineChars="10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签署日期：</w:t>
      </w:r>
      <w:r>
        <w:rPr>
          <w:rFonts w:hint="eastAsia" w:ascii="宋体" w:hAnsi="宋体" w:eastAsia="宋体" w:cs="宋体"/>
          <w:sz w:val="28"/>
          <w:szCs w:val="28"/>
        </w:rPr>
        <w:t>2024年6月30日</w:t>
      </w:r>
    </w:p>
    <w:p w14:paraId="66526B65">
      <w:pPr>
        <w:ind w:firstLine="420" w:firstLineChars="15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业主（</w:t>
      </w:r>
      <w:r>
        <w:rPr>
          <w:rFonts w:hint="eastAsia" w:ascii="宋体" w:hAnsi="宋体" w:eastAsia="宋体" w:cs="宋体"/>
          <w:sz w:val="28"/>
          <w:szCs w:val="28"/>
        </w:rPr>
        <w:t>签字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公司</w:t>
      </w:r>
      <w:r>
        <w:rPr>
          <w:rFonts w:hint="eastAsia" w:ascii="宋体" w:hAnsi="宋体" w:eastAsia="宋体" w:cs="宋体"/>
          <w:sz w:val="28"/>
          <w:szCs w:val="28"/>
        </w:rPr>
        <w:t>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34AE7"/>
    <w:multiLevelType w:val="multilevel"/>
    <w:tmpl w:val="57134AE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3MjAzOGI1ZWM1NjI3YTE0MjIzZDIwNTMwM2NhZjEifQ=="/>
  </w:docVars>
  <w:rsids>
    <w:rsidRoot w:val="008903B0"/>
    <w:rsid w:val="00035984"/>
    <w:rsid w:val="000614A9"/>
    <w:rsid w:val="00236589"/>
    <w:rsid w:val="003D1EBE"/>
    <w:rsid w:val="00434C58"/>
    <w:rsid w:val="005B0F39"/>
    <w:rsid w:val="008903B0"/>
    <w:rsid w:val="008D08BB"/>
    <w:rsid w:val="008F7D62"/>
    <w:rsid w:val="009E662C"/>
    <w:rsid w:val="00BA5EB8"/>
    <w:rsid w:val="00D9313F"/>
    <w:rsid w:val="00DC00E2"/>
    <w:rsid w:val="65F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470</Characters>
  <Lines>3</Lines>
  <Paragraphs>1</Paragraphs>
  <TotalTime>4</TotalTime>
  <ScaleCrop>false</ScaleCrop>
  <LinksUpToDate>false</LinksUpToDate>
  <CharactersWithSpaces>480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2024-06-30T02:30:00Z</dcterms:created>
  <dc:creator>lillian qi</dc:creator>
  <cp:lastModifiedBy>三汇能环科技WPS</cp:lastModifiedBy>
  <dcterms:modified xsi:type="dcterms:W3CDTF">2024-07-11T07:12:47Z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B083FBAA464647A78BE3A7C394711B63_12</vt:lpwstr>
  </property>
</Properties>
</file>