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71" w:line="219" w:lineRule="auto"/>
        <w:ind w:left="1935"/>
        <w:outlineLvl w:val="0"/>
        <w:rPr>
          <w:sz w:val="36"/>
          <w:szCs w:val="36"/>
        </w:rPr>
      </w:pPr>
      <w:r>
        <w:rPr>
          <w:b/>
          <w:bCs/>
          <w:spacing w:val="28"/>
          <w:sz w:val="36"/>
          <w:szCs w:val="36"/>
          <w:u w:val="single" w:color="auto"/>
        </w:rPr>
        <w:t>北京沐海能源科技有限公司</w:t>
      </w:r>
      <w:r>
        <w:rPr>
          <w:spacing w:val="28"/>
          <w:sz w:val="36"/>
          <w:szCs w:val="36"/>
        </w:rPr>
        <w:t xml:space="preserve"> </w:t>
      </w:r>
      <w:r>
        <w:rPr>
          <w:b/>
          <w:bCs/>
          <w:spacing w:val="28"/>
          <w:sz w:val="36"/>
          <w:szCs w:val="36"/>
        </w:rPr>
        <w:t>章程</w:t>
      </w: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pStyle w:val="2"/>
        <w:spacing w:before="78" w:line="219" w:lineRule="auto"/>
        <w:ind w:left="3800"/>
      </w:pPr>
      <w:r>
        <w:rPr>
          <w:spacing w:val="-3"/>
        </w:rPr>
        <w:t>第一章</w:t>
      </w:r>
      <w:r>
        <w:rPr>
          <w:spacing w:val="100"/>
        </w:rPr>
        <w:t xml:space="preserve"> </w:t>
      </w:r>
      <w:r>
        <w:rPr>
          <w:spacing w:val="-3"/>
        </w:rPr>
        <w:t>总  则</w:t>
      </w:r>
    </w:p>
    <w:p>
      <w:pPr>
        <w:spacing w:line="425" w:lineRule="auto"/>
        <w:rPr>
          <w:rFonts w:ascii="Arial"/>
          <w:sz w:val="21"/>
        </w:rPr>
      </w:pPr>
    </w:p>
    <w:p>
      <w:pPr>
        <w:pStyle w:val="2"/>
        <w:spacing w:before="78" w:line="391" w:lineRule="auto"/>
        <w:ind w:right="206" w:firstLine="550"/>
      </w:pPr>
      <w:r>
        <w:rPr>
          <w:spacing w:val="18"/>
        </w:rPr>
        <w:t>第一条</w:t>
      </w:r>
      <w:r>
        <w:rPr>
          <w:rFonts w:hint="eastAsia"/>
          <w:spacing w:val="18"/>
          <w:lang w:val="en-US" w:eastAsia="zh-CN"/>
        </w:rPr>
        <w:t xml:space="preserve"> </w:t>
      </w:r>
      <w:r>
        <w:rPr>
          <w:spacing w:val="18"/>
        </w:rPr>
        <w:t>依据《中华人民共和国公司法》</w:t>
      </w:r>
      <w:r>
        <w:t xml:space="preserve">  </w:t>
      </w:r>
      <w:r>
        <w:rPr>
          <w:spacing w:val="18"/>
        </w:rPr>
        <w:t>(以下简称《公司法》</w:t>
      </w:r>
      <w:r>
        <w:rPr>
          <w:spacing w:val="17"/>
        </w:rPr>
        <w:t>)及有关法律</w:t>
      </w:r>
      <w:r>
        <w:t xml:space="preserve"> </w:t>
      </w:r>
      <w:r>
        <w:rPr>
          <w:spacing w:val="12"/>
        </w:rPr>
        <w:t xml:space="preserve">、法规的规定，由 </w:t>
      </w:r>
      <w:r>
        <w:rPr>
          <w:rFonts w:hint="eastAsia"/>
          <w:spacing w:val="12"/>
          <w:lang w:val="en-US" w:eastAsia="zh-CN"/>
        </w:rPr>
        <w:t>北京兴超能源管理科技有限公司</w:t>
      </w:r>
      <w:r>
        <w:rPr>
          <w:spacing w:val="12"/>
        </w:rPr>
        <w:t>、北京三汇能环科技发展有限公司 等</w:t>
      </w:r>
      <w:r>
        <w:rPr>
          <w:spacing w:val="49"/>
        </w:rPr>
        <w:t xml:space="preserve">  </w:t>
      </w:r>
      <w:r>
        <w:rPr>
          <w:spacing w:val="-106"/>
          <w:u w:val="single" w:color="auto"/>
        </w:rPr>
        <w:t xml:space="preserve"> </w:t>
      </w:r>
      <w:r>
        <w:rPr>
          <w:spacing w:val="12"/>
          <w:u w:val="single" w:color="auto"/>
        </w:rPr>
        <w:t>2</w:t>
      </w:r>
      <w:r>
        <w:rPr>
          <w:spacing w:val="12"/>
        </w:rPr>
        <w:t xml:space="preserve"> 方共同出资，</w:t>
      </w:r>
      <w:r>
        <w:rPr>
          <w:spacing w:val="15"/>
          <w:u w:val="single" w:color="auto"/>
        </w:rPr>
        <w:t>设立北京沐海能源科技有限公司</w:t>
      </w:r>
      <w:r>
        <w:rPr>
          <w:spacing w:val="105"/>
        </w:rPr>
        <w:t xml:space="preserve"> </w:t>
      </w:r>
      <w:r>
        <w:rPr>
          <w:spacing w:val="15"/>
        </w:rPr>
        <w:t>,</w:t>
      </w:r>
      <w:r>
        <w:rPr>
          <w:spacing w:val="114"/>
        </w:rPr>
        <w:t xml:space="preserve"> </w:t>
      </w:r>
      <w:r>
        <w:rPr>
          <w:spacing w:val="15"/>
        </w:rPr>
        <w:t>(以下简称公司)特制定本章程。</w:t>
      </w:r>
    </w:p>
    <w:p>
      <w:pPr>
        <w:pStyle w:val="2"/>
        <w:spacing w:before="231" w:line="510" w:lineRule="exact"/>
        <w:ind w:left="550"/>
      </w:pPr>
      <w:r>
        <w:rPr>
          <w:spacing w:val="18"/>
          <w:position w:val="20"/>
        </w:rPr>
        <w:t>第二条</w:t>
      </w:r>
      <w:r>
        <w:rPr>
          <w:rFonts w:hint="eastAsia"/>
          <w:spacing w:val="18"/>
          <w:position w:val="20"/>
          <w:lang w:val="en-US" w:eastAsia="zh-CN"/>
        </w:rPr>
        <w:t xml:space="preserve"> </w:t>
      </w:r>
      <w:r>
        <w:rPr>
          <w:spacing w:val="18"/>
          <w:position w:val="20"/>
        </w:rPr>
        <w:t>本章程中的各项条款与法律、法规、规章不符的，以法律、法规规</w:t>
      </w:r>
    </w:p>
    <w:p>
      <w:pPr>
        <w:pStyle w:val="2"/>
        <w:spacing w:before="1" w:line="218" w:lineRule="auto"/>
      </w:pPr>
      <w:r>
        <w:rPr>
          <w:spacing w:val="1"/>
        </w:rPr>
        <w:t>章的规定为准。</w:t>
      </w:r>
    </w:p>
    <w:p>
      <w:pPr>
        <w:spacing w:line="326" w:lineRule="auto"/>
        <w:rPr>
          <w:rFonts w:ascii="Arial"/>
          <w:sz w:val="21"/>
        </w:rPr>
      </w:pPr>
    </w:p>
    <w:p>
      <w:pPr>
        <w:spacing w:line="327" w:lineRule="auto"/>
        <w:rPr>
          <w:rFonts w:ascii="Arial"/>
          <w:sz w:val="21"/>
        </w:rPr>
      </w:pPr>
    </w:p>
    <w:p>
      <w:pPr>
        <w:pStyle w:val="2"/>
        <w:spacing w:before="78" w:line="219" w:lineRule="auto"/>
        <w:ind w:left="3680"/>
      </w:pPr>
      <w:r>
        <w:rPr>
          <w:spacing w:val="6"/>
        </w:rPr>
        <w:t>第二章公司名称和住所</w:t>
      </w:r>
    </w:p>
    <w:p>
      <w:pPr>
        <w:spacing w:line="414" w:lineRule="auto"/>
        <w:rPr>
          <w:rFonts w:ascii="Arial"/>
          <w:sz w:val="21"/>
        </w:rPr>
      </w:pPr>
    </w:p>
    <w:p>
      <w:pPr>
        <w:pStyle w:val="2"/>
        <w:spacing w:before="79" w:line="219" w:lineRule="auto"/>
        <w:ind w:left="550"/>
      </w:pPr>
      <w:r>
        <w:rPr>
          <w:spacing w:val="11"/>
        </w:rPr>
        <w:t>第三条</w:t>
      </w:r>
      <w:r>
        <w:rPr>
          <w:rFonts w:hint="eastAsia"/>
          <w:spacing w:val="11"/>
          <w:lang w:val="en-US" w:eastAsia="zh-CN"/>
        </w:rPr>
        <w:t xml:space="preserve"> </w:t>
      </w:r>
      <w:r>
        <w:rPr>
          <w:spacing w:val="11"/>
        </w:rPr>
        <w:t xml:space="preserve">公司名称：  </w:t>
      </w:r>
      <w:r>
        <w:rPr>
          <w:spacing w:val="-89"/>
          <w:u w:val="single" w:color="auto"/>
        </w:rPr>
        <w:t xml:space="preserve"> </w:t>
      </w:r>
      <w:r>
        <w:rPr>
          <w:spacing w:val="11"/>
          <w:u w:val="single" w:color="auto"/>
        </w:rPr>
        <w:t>北京沐海能源科技有限公司</w:t>
      </w:r>
      <w:r>
        <w:rPr>
          <w:spacing w:val="11"/>
        </w:rPr>
        <w:t xml:space="preserve">  。</w:t>
      </w:r>
    </w:p>
    <w:p>
      <w:pPr>
        <w:pStyle w:val="2"/>
        <w:spacing w:before="227" w:line="400" w:lineRule="auto"/>
        <w:ind w:left="550"/>
      </w:pPr>
      <w:r>
        <w:rPr>
          <w:spacing w:val="15"/>
        </w:rPr>
        <w:t>第四条</w:t>
      </w:r>
      <w:r>
        <w:rPr>
          <w:rFonts w:hint="eastAsia"/>
          <w:spacing w:val="15"/>
          <w:lang w:val="en-US" w:eastAsia="zh-CN"/>
        </w:rPr>
        <w:t xml:space="preserve"> </w:t>
      </w:r>
      <w:r>
        <w:rPr>
          <w:spacing w:val="15"/>
        </w:rPr>
        <w:t xml:space="preserve">住所：  </w:t>
      </w:r>
      <w:r>
        <w:rPr>
          <w:spacing w:val="-106"/>
          <w:u w:val="single" w:color="auto"/>
        </w:rPr>
        <w:t xml:space="preserve"> </w:t>
      </w:r>
      <w:r>
        <w:rPr>
          <w:spacing w:val="15"/>
          <w:u w:val="single" w:color="auto"/>
        </w:rPr>
        <w:t>北京市平谷区平谷镇迎宾花</w:t>
      </w:r>
      <w:r>
        <w:rPr>
          <w:spacing w:val="14"/>
          <w:u w:val="single" w:color="auto"/>
        </w:rPr>
        <w:t>园3号楼1至3层111号-230681集</w:t>
      </w:r>
    </w:p>
    <w:p>
      <w:pPr>
        <w:pStyle w:val="2"/>
        <w:spacing w:line="219" w:lineRule="auto"/>
      </w:pPr>
      <w:r>
        <w:rPr>
          <w:spacing w:val="29"/>
          <w:u w:val="single" w:color="auto"/>
        </w:rPr>
        <w:t>群注册)</w:t>
      </w:r>
      <w:r>
        <w:rPr>
          <w:spacing w:val="51"/>
          <w:u w:val="single" w:color="auto"/>
        </w:rPr>
        <w:t xml:space="preserve"> </w:t>
      </w:r>
      <w:r>
        <w:rPr>
          <w:spacing w:val="29"/>
        </w:rPr>
        <w:t>。</w:t>
      </w:r>
    </w:p>
    <w:p>
      <w:pPr>
        <w:spacing w:line="315" w:lineRule="auto"/>
        <w:rPr>
          <w:rFonts w:ascii="Arial"/>
          <w:sz w:val="21"/>
        </w:rPr>
      </w:pPr>
    </w:p>
    <w:p>
      <w:pPr>
        <w:spacing w:line="316" w:lineRule="auto"/>
        <w:rPr>
          <w:rFonts w:ascii="Arial"/>
          <w:sz w:val="21"/>
        </w:rPr>
      </w:pPr>
    </w:p>
    <w:p>
      <w:pPr>
        <w:pStyle w:val="2"/>
        <w:spacing w:before="79" w:line="219" w:lineRule="auto"/>
        <w:ind w:left="3810"/>
      </w:pPr>
      <w:r>
        <w:rPr>
          <w:spacing w:val="10"/>
        </w:rPr>
        <w:t>第三章公司经营范围</w:t>
      </w:r>
    </w:p>
    <w:p>
      <w:pPr>
        <w:spacing w:line="425" w:lineRule="auto"/>
        <w:rPr>
          <w:rFonts w:ascii="Arial"/>
          <w:sz w:val="21"/>
        </w:rPr>
      </w:pPr>
    </w:p>
    <w:p>
      <w:pPr>
        <w:pStyle w:val="2"/>
        <w:spacing w:before="78" w:line="392" w:lineRule="auto"/>
        <w:ind w:left="550"/>
        <w:rPr>
          <w:spacing w:val="17"/>
        </w:rPr>
      </w:pPr>
      <w:r>
        <w:rPr>
          <w:spacing w:val="13"/>
        </w:rPr>
        <w:t xml:space="preserve">第五条公司经营范围：  </w:t>
      </w:r>
      <w:r>
        <w:rPr>
          <w:spacing w:val="-106"/>
          <w:u w:val="single" w:color="auto"/>
        </w:rPr>
        <w:t xml:space="preserve"> </w:t>
      </w:r>
      <w:r>
        <w:rPr>
          <w:spacing w:val="13"/>
          <w:u w:val="single" w:color="auto"/>
        </w:rPr>
        <w:t>一般项目：技术服务、技术开发、技术咨询、技术交</w:t>
      </w:r>
      <w:r>
        <w:rPr>
          <w:spacing w:val="14"/>
          <w:u w:val="single" w:color="auto"/>
        </w:rPr>
        <w:t>流、技术转让、技术推广；对外承包工程；专业保洁、清洗、消毒服务；</w:t>
      </w:r>
      <w:r>
        <w:rPr>
          <w:spacing w:val="13"/>
          <w:u w:val="single" w:color="auto"/>
        </w:rPr>
        <w:t>供冷服务</w:t>
      </w:r>
      <w:r>
        <w:rPr>
          <w:spacing w:val="22"/>
          <w:u w:val="single" w:color="auto"/>
        </w:rPr>
        <w:t>;机械设备销售；通信设备销售；电气设备销售；通讯设备销售，</w:t>
      </w:r>
      <w:r>
        <w:rPr>
          <w:rFonts w:hint="eastAsia"/>
          <w:spacing w:val="22"/>
          <w:u w:val="single" w:color="auto"/>
          <w:lang w:eastAsia="zh-CN"/>
        </w:rPr>
        <w:t>建筑材料</w:t>
      </w:r>
      <w:r>
        <w:rPr>
          <w:spacing w:val="22"/>
          <w:u w:val="single" w:color="auto"/>
        </w:rPr>
        <w:t>销售</w:t>
      </w:r>
      <w:r>
        <w:rPr>
          <w:rFonts w:hint="eastAsia"/>
          <w:spacing w:val="22"/>
          <w:u w:val="single" w:color="auto"/>
          <w:lang w:eastAsia="zh-CN"/>
        </w:rPr>
        <w:t>；</w:t>
      </w:r>
      <w:r>
        <w:rPr>
          <w:spacing w:val="15"/>
          <w:u w:val="single" w:color="auto"/>
        </w:rPr>
        <w:t>轻质建筑材料销售；金属制品销售；建筑装饰材料销售；五金产品批发；五</w:t>
      </w:r>
      <w:r>
        <w:rPr>
          <w:rFonts w:hint="eastAsia"/>
          <w:spacing w:val="15"/>
          <w:u w:val="single" w:color="auto"/>
          <w:lang w:eastAsia="zh-CN"/>
        </w:rPr>
        <w:t>金</w:t>
      </w:r>
      <w:r>
        <w:rPr>
          <w:spacing w:val="15"/>
          <w:u w:val="single" w:color="auto"/>
        </w:rPr>
        <w:t>产品</w:t>
      </w:r>
      <w:r>
        <w:rPr>
          <w:spacing w:val="14"/>
          <w:u w:val="single" w:color="auto"/>
        </w:rPr>
        <w:t>零售；电子产品销售；化工产品销售(不含许可类化工产品：家用</w:t>
      </w:r>
      <w:r>
        <w:rPr>
          <w:rFonts w:hint="eastAsia"/>
          <w:spacing w:val="14"/>
          <w:u w:val="single" w:color="auto"/>
          <w:lang w:eastAsia="zh-CN"/>
        </w:rPr>
        <w:t>电器安装服务</w:t>
      </w:r>
      <w:r>
        <w:rPr>
          <w:spacing w:val="31"/>
          <w:u w:val="single" w:color="auto"/>
        </w:rPr>
        <w:t>;普通机械设备安装服务；物业管理；合同能</w:t>
      </w:r>
      <w:r>
        <w:rPr>
          <w:spacing w:val="30"/>
          <w:u w:val="single" w:color="auto"/>
        </w:rPr>
        <w:t>源管理；机械</w:t>
      </w:r>
      <w:r>
        <w:rPr>
          <w:rFonts w:hint="eastAsia"/>
          <w:spacing w:val="30"/>
          <w:u w:val="single" w:color="auto"/>
          <w:lang w:eastAsia="zh-CN"/>
        </w:rPr>
        <w:t>设备租赁</w:t>
      </w:r>
      <w:r>
        <w:rPr>
          <w:spacing w:val="30"/>
          <w:u w:val="single" w:color="auto"/>
        </w:rPr>
        <w:t>：</w:t>
      </w:r>
      <w:r>
        <w:rPr>
          <w:rFonts w:hint="eastAsia"/>
          <w:spacing w:val="30"/>
          <w:u w:val="single" w:color="auto"/>
          <w:lang w:eastAsia="zh-CN"/>
        </w:rPr>
        <w:t>租赁服务</w:t>
      </w:r>
      <w:r>
        <w:rPr>
          <w:spacing w:val="30"/>
          <w:u w:val="single" w:color="auto"/>
        </w:rPr>
        <w:t>(</w:t>
      </w:r>
      <w:r>
        <w:rPr>
          <w:spacing w:val="22"/>
          <w:u w:val="single" w:color="auto"/>
        </w:rPr>
        <w:t>不含许可类租赁服务)。(除依法须经批准的项目外</w:t>
      </w:r>
      <w:r>
        <w:rPr>
          <w:spacing w:val="21"/>
          <w:u w:val="single" w:color="auto"/>
        </w:rPr>
        <w:t>，凭营业执照依法</w:t>
      </w:r>
      <w:r>
        <w:rPr>
          <w:rFonts w:hint="eastAsia"/>
          <w:spacing w:val="21"/>
          <w:u w:val="single" w:color="auto"/>
          <w:lang w:eastAsia="zh-CN"/>
        </w:rPr>
        <w:t>自主</w:t>
      </w:r>
      <w:r>
        <w:rPr>
          <w:spacing w:val="21"/>
          <w:u w:val="single" w:color="auto"/>
        </w:rPr>
        <w:t>开展经</w:t>
      </w:r>
      <w:r>
        <w:rPr>
          <w:spacing w:val="8"/>
          <w:u w:val="single" w:color="auto"/>
        </w:rPr>
        <w:t>营活动)许可项目：建筑劳务分包；供暖服务；电气安装服务；施工专业作业。</w:t>
      </w:r>
      <w:r>
        <w:rPr>
          <w:spacing w:val="3"/>
          <w:u w:val="single" w:color="auto"/>
        </w:rPr>
        <w:t xml:space="preserve">    </w:t>
      </w:r>
      <w:r>
        <w:rPr>
          <w:spacing w:val="8"/>
          <w:u w:val="single" w:color="auto"/>
        </w:rPr>
        <w:t>(</w:t>
      </w:r>
      <w:r>
        <w:t xml:space="preserve"> </w:t>
      </w:r>
      <w:r>
        <w:rPr>
          <w:spacing w:val="15"/>
          <w:u w:val="single" w:color="auto"/>
        </w:rPr>
        <w:t>依法须经批准的项目，经相关部门批准后方可开展经营活动，具体经营项目以相关</w:t>
      </w:r>
      <w:r>
        <w:t xml:space="preserve"> </w:t>
      </w:r>
      <w:r>
        <w:rPr>
          <w:spacing w:val="12"/>
          <w:u w:val="single" w:color="auto"/>
        </w:rPr>
        <w:t>部门批准文件或许可证件为准)</w:t>
      </w:r>
      <w:r>
        <w:rPr>
          <w:spacing w:val="51"/>
          <w:u w:val="single" w:color="auto"/>
        </w:rPr>
        <w:t xml:space="preserve">  </w:t>
      </w:r>
      <w:r>
        <w:rPr>
          <w:spacing w:val="12"/>
          <w:u w:val="single" w:color="auto"/>
        </w:rPr>
        <w:t>(不得从事国家和本市产业政策禁止和限制类项目</w:t>
      </w:r>
      <w:r>
        <w:rPr>
          <w:spacing w:val="17"/>
          <w:u w:val="single" w:color="auto"/>
        </w:rPr>
        <w:t>的经营活动。)</w:t>
      </w:r>
      <w:r>
        <w:rPr>
          <w:spacing w:val="115"/>
        </w:rPr>
        <w:t xml:space="preserve"> </w:t>
      </w:r>
      <w:r>
        <w:rPr>
          <w:spacing w:val="17"/>
        </w:rPr>
        <w:t>(以登记机关核准为准)</w:t>
      </w:r>
    </w:p>
    <w:p>
      <w:pPr>
        <w:pStyle w:val="2"/>
        <w:spacing w:line="218" w:lineRule="auto"/>
        <w:rPr>
          <w:spacing w:val="17"/>
        </w:rPr>
      </w:pPr>
    </w:p>
    <w:p>
      <w:pPr>
        <w:pStyle w:val="2"/>
        <w:spacing w:line="218" w:lineRule="auto"/>
        <w:rPr>
          <w:spacing w:val="17"/>
        </w:rPr>
      </w:pPr>
    </w:p>
    <w:p>
      <w:pPr>
        <w:pStyle w:val="2"/>
        <w:spacing w:line="218" w:lineRule="auto"/>
        <w:rPr>
          <w:spacing w:val="17"/>
        </w:rPr>
      </w:pPr>
    </w:p>
    <w:p>
      <w:pPr>
        <w:spacing w:before="46" w:line="214" w:lineRule="auto"/>
        <w:ind w:left="2621" w:right="1905" w:hanging="900"/>
        <w:outlineLvl w:val="0"/>
        <w:rPr>
          <w:rFonts w:ascii="宋体" w:hAnsi="宋体" w:eastAsia="宋体" w:cs="宋体"/>
          <w:sz w:val="23"/>
          <w:szCs w:val="23"/>
        </w:rPr>
      </w:pPr>
      <w:r>
        <w:rPr>
          <w:rFonts w:ascii="宋体" w:hAnsi="宋体" w:eastAsia="宋体" w:cs="宋体"/>
          <w:spacing w:val="24"/>
          <w:sz w:val="23"/>
          <w:szCs w:val="23"/>
        </w:rPr>
        <w:t>第四章</w:t>
      </w:r>
      <w:r>
        <w:rPr>
          <w:rFonts w:hint="eastAsia" w:ascii="宋体" w:hAnsi="宋体" w:eastAsia="宋体" w:cs="宋体"/>
          <w:spacing w:val="24"/>
          <w:sz w:val="23"/>
          <w:szCs w:val="23"/>
          <w:lang w:val="en-US" w:eastAsia="zh-CN"/>
        </w:rPr>
        <w:t xml:space="preserve"> </w:t>
      </w:r>
      <w:r>
        <w:rPr>
          <w:rFonts w:ascii="宋体" w:hAnsi="宋体" w:eastAsia="宋体" w:cs="宋体"/>
          <w:spacing w:val="24"/>
          <w:sz w:val="23"/>
          <w:szCs w:val="23"/>
        </w:rPr>
        <w:t>公司注册资本及股东的姓名(名称)、</w:t>
      </w:r>
      <w:r>
        <w:rPr>
          <w:rFonts w:ascii="宋体" w:hAnsi="宋体" w:eastAsia="宋体" w:cs="宋体"/>
          <w:spacing w:val="13"/>
          <w:sz w:val="23"/>
          <w:szCs w:val="23"/>
        </w:rPr>
        <w:t xml:space="preserve"> </w:t>
      </w:r>
      <w:r>
        <w:rPr>
          <w:rFonts w:ascii="宋体" w:hAnsi="宋体" w:eastAsia="宋体" w:cs="宋体"/>
          <w:spacing w:val="7"/>
          <w:sz w:val="23"/>
          <w:szCs w:val="23"/>
        </w:rPr>
        <w:t>出资方式、出资额、出资时间</w:t>
      </w:r>
    </w:p>
    <w:p>
      <w:pPr>
        <w:pStyle w:val="2"/>
        <w:spacing w:line="448" w:lineRule="auto"/>
      </w:pPr>
    </w:p>
    <w:p>
      <w:pPr>
        <w:spacing w:before="74" w:line="219" w:lineRule="auto"/>
        <w:ind w:left="41"/>
        <w:rPr>
          <w:rFonts w:ascii="宋体" w:hAnsi="宋体" w:eastAsia="宋体" w:cs="宋体"/>
          <w:sz w:val="23"/>
          <w:szCs w:val="23"/>
        </w:rPr>
      </w:pPr>
      <w:r>
        <w:rPr>
          <w:rFonts w:ascii="宋体" w:hAnsi="宋体" w:eastAsia="宋体" w:cs="宋体"/>
          <w:spacing w:val="13"/>
          <w:sz w:val="23"/>
          <w:szCs w:val="23"/>
        </w:rPr>
        <w:t>第六条</w:t>
      </w:r>
      <w:r>
        <w:rPr>
          <w:rFonts w:hint="eastAsia" w:ascii="宋体" w:hAnsi="宋体" w:eastAsia="宋体" w:cs="宋体"/>
          <w:spacing w:val="13"/>
          <w:sz w:val="23"/>
          <w:szCs w:val="23"/>
          <w:lang w:val="en-US" w:eastAsia="zh-CN"/>
        </w:rPr>
        <w:t xml:space="preserve"> </w:t>
      </w:r>
      <w:r>
        <w:rPr>
          <w:rFonts w:ascii="宋体" w:hAnsi="宋体" w:eastAsia="宋体" w:cs="宋体"/>
          <w:spacing w:val="13"/>
          <w:sz w:val="23"/>
          <w:szCs w:val="23"/>
        </w:rPr>
        <w:t>公司注册资本：</w:t>
      </w:r>
      <w:r>
        <w:rPr>
          <w:rFonts w:ascii="宋体" w:hAnsi="宋体" w:eastAsia="宋体" w:cs="宋体"/>
          <w:spacing w:val="37"/>
          <w:sz w:val="23"/>
          <w:szCs w:val="23"/>
        </w:rPr>
        <w:t xml:space="preserve">  </w:t>
      </w:r>
      <w:r>
        <w:rPr>
          <w:rFonts w:ascii="宋体" w:hAnsi="宋体" w:eastAsia="宋体" w:cs="宋体"/>
          <w:spacing w:val="63"/>
          <w:sz w:val="23"/>
          <w:szCs w:val="23"/>
          <w:u w:val="single" w:color="auto"/>
        </w:rPr>
        <w:t xml:space="preserve"> </w:t>
      </w:r>
      <w:r>
        <w:rPr>
          <w:rFonts w:ascii="宋体" w:hAnsi="宋体" w:eastAsia="宋体" w:cs="宋体"/>
          <w:spacing w:val="13"/>
          <w:sz w:val="23"/>
          <w:szCs w:val="23"/>
          <w:u w:val="single" w:color="auto"/>
        </w:rPr>
        <w:t>10</w:t>
      </w:r>
      <w:r>
        <w:rPr>
          <w:rFonts w:ascii="宋体" w:hAnsi="宋体" w:eastAsia="宋体" w:cs="宋体"/>
          <w:spacing w:val="13"/>
          <w:sz w:val="23"/>
          <w:szCs w:val="23"/>
        </w:rPr>
        <w:t xml:space="preserve"> 万元人民币。</w:t>
      </w:r>
    </w:p>
    <w:p>
      <w:pPr>
        <w:spacing w:before="198" w:line="219" w:lineRule="auto"/>
        <w:ind w:left="31"/>
        <w:rPr>
          <w:rFonts w:ascii="宋体" w:hAnsi="宋体" w:eastAsia="宋体" w:cs="宋体"/>
          <w:sz w:val="23"/>
          <w:szCs w:val="23"/>
        </w:rPr>
      </w:pPr>
      <w:r>
        <w:rPr>
          <w:rFonts w:ascii="宋体" w:hAnsi="宋体" w:eastAsia="宋体" w:cs="宋体"/>
          <w:spacing w:val="33"/>
          <w:sz w:val="23"/>
          <w:szCs w:val="23"/>
        </w:rPr>
        <w:t>第七条</w:t>
      </w:r>
      <w:r>
        <w:rPr>
          <w:rFonts w:hint="eastAsia" w:ascii="宋体" w:hAnsi="宋体" w:eastAsia="宋体" w:cs="宋体"/>
          <w:spacing w:val="33"/>
          <w:sz w:val="23"/>
          <w:szCs w:val="23"/>
          <w:lang w:val="en-US" w:eastAsia="zh-CN"/>
        </w:rPr>
        <w:t xml:space="preserve"> </w:t>
      </w:r>
      <w:r>
        <w:rPr>
          <w:rFonts w:ascii="宋体" w:hAnsi="宋体" w:eastAsia="宋体" w:cs="宋体"/>
          <w:spacing w:val="33"/>
          <w:sz w:val="23"/>
          <w:szCs w:val="23"/>
        </w:rPr>
        <w:t>股东的姓名(名称)、认缴的出资额、出资期限、出资方式如下：</w:t>
      </w:r>
    </w:p>
    <w:p>
      <w:pPr>
        <w:pStyle w:val="2"/>
        <w:spacing w:line="244" w:lineRule="auto"/>
      </w:pPr>
    </w:p>
    <w:p>
      <w:pPr>
        <w:pStyle w:val="2"/>
        <w:spacing w:line="218" w:lineRule="auto"/>
        <w:rPr>
          <w:spacing w:val="17"/>
        </w:rPr>
      </w:pPr>
    </w:p>
    <w:p>
      <w:pPr>
        <w:spacing w:line="283" w:lineRule="auto"/>
        <w:rPr>
          <w:rFonts w:ascii="Arial"/>
          <w:sz w:val="21"/>
        </w:rPr>
      </w:pPr>
    </w:p>
    <w:p>
      <w:pPr>
        <w:spacing w:line="283" w:lineRule="auto"/>
        <w:rPr>
          <w:rFonts w:ascii="Arial"/>
          <w:sz w:val="21"/>
        </w:rPr>
      </w:pPr>
    </w:p>
    <w:p>
      <w:pPr>
        <w:pStyle w:val="2"/>
        <w:spacing w:before="56" w:line="221" w:lineRule="auto"/>
        <w:rPr>
          <w:sz w:val="17"/>
          <w:szCs w:val="17"/>
        </w:rPr>
      </w:pPr>
    </w:p>
    <w:p>
      <w:pPr>
        <w:pStyle w:val="2"/>
        <w:spacing w:before="56" w:line="221" w:lineRule="auto"/>
        <w:rPr>
          <w:sz w:val="17"/>
          <w:szCs w:val="17"/>
        </w:rPr>
      </w:pPr>
    </w:p>
    <w:p>
      <w:pPr>
        <w:pStyle w:val="2"/>
        <w:spacing w:before="56" w:line="221" w:lineRule="auto"/>
        <w:rPr>
          <w:sz w:val="17"/>
          <w:szCs w:val="17"/>
        </w:rPr>
      </w:pPr>
    </w:p>
    <w:p>
      <w:pPr>
        <w:pStyle w:val="2"/>
        <w:spacing w:before="56" w:line="221" w:lineRule="auto"/>
        <w:rPr>
          <w:sz w:val="17"/>
          <w:szCs w:val="17"/>
        </w:rPr>
      </w:pPr>
    </w:p>
    <w:p>
      <w:pPr>
        <w:pStyle w:val="2"/>
        <w:spacing w:before="56" w:line="221" w:lineRule="auto"/>
        <w:rPr>
          <w:sz w:val="17"/>
          <w:szCs w:val="17"/>
        </w:rPr>
      </w:pPr>
    </w:p>
    <w:p>
      <w:pPr>
        <w:pStyle w:val="2"/>
        <w:spacing w:before="56" w:line="221" w:lineRule="auto"/>
        <w:rPr>
          <w:sz w:val="17"/>
          <w:szCs w:val="17"/>
        </w:rPr>
      </w:pPr>
    </w:p>
    <w:p>
      <w:pPr>
        <w:pStyle w:val="2"/>
        <w:spacing w:before="56" w:line="221" w:lineRule="auto"/>
        <w:rPr>
          <w:sz w:val="17"/>
          <w:szCs w:val="17"/>
        </w:rPr>
      </w:pPr>
    </w:p>
    <w:p>
      <w:pPr>
        <w:pStyle w:val="2"/>
        <w:spacing w:before="56" w:line="221" w:lineRule="auto"/>
        <w:rPr>
          <w:sz w:val="17"/>
          <w:szCs w:val="17"/>
        </w:rPr>
      </w:pPr>
    </w:p>
    <w:p>
      <w:pPr>
        <w:pStyle w:val="2"/>
        <w:spacing w:before="56" w:line="221" w:lineRule="auto"/>
        <w:rPr>
          <w:sz w:val="17"/>
          <w:szCs w:val="17"/>
        </w:rPr>
      </w:pPr>
    </w:p>
    <w:p>
      <w:pPr>
        <w:pStyle w:val="2"/>
        <w:spacing w:before="56" w:line="221" w:lineRule="auto"/>
        <w:rPr>
          <w:sz w:val="17"/>
          <w:szCs w:val="17"/>
        </w:rPr>
      </w:pPr>
    </w:p>
    <w:p>
      <w:pPr>
        <w:pStyle w:val="2"/>
        <w:spacing w:before="56" w:line="221" w:lineRule="auto"/>
        <w:rPr>
          <w:sz w:val="17"/>
          <w:szCs w:val="17"/>
        </w:rPr>
      </w:pPr>
    </w:p>
    <w:p>
      <w:pPr>
        <w:pStyle w:val="2"/>
        <w:spacing w:before="56" w:line="221" w:lineRule="auto"/>
        <w:rPr>
          <w:sz w:val="17"/>
          <w:szCs w:val="17"/>
        </w:rPr>
      </w:pPr>
    </w:p>
    <w:p>
      <w:pPr>
        <w:pStyle w:val="2"/>
        <w:spacing w:before="56" w:line="221" w:lineRule="auto"/>
        <w:rPr>
          <w:sz w:val="17"/>
          <w:szCs w:val="17"/>
        </w:rPr>
      </w:pPr>
    </w:p>
    <w:p>
      <w:pPr>
        <w:pStyle w:val="2"/>
        <w:spacing w:before="56" w:line="221" w:lineRule="auto"/>
        <w:rPr>
          <w:sz w:val="17"/>
          <w:szCs w:val="17"/>
        </w:rPr>
      </w:pPr>
    </w:p>
    <w:p>
      <w:pPr>
        <w:pStyle w:val="2"/>
        <w:spacing w:before="56" w:line="221" w:lineRule="auto"/>
        <w:rPr>
          <w:sz w:val="17"/>
          <w:szCs w:val="17"/>
        </w:rPr>
      </w:pPr>
    </w:p>
    <w:p>
      <w:pPr>
        <w:pStyle w:val="2"/>
        <w:spacing w:before="56" w:line="221" w:lineRule="auto"/>
        <w:rPr>
          <w:sz w:val="17"/>
          <w:szCs w:val="17"/>
        </w:rPr>
      </w:pPr>
    </w:p>
    <w:p>
      <w:pPr>
        <w:pStyle w:val="2"/>
        <w:spacing w:before="56" w:line="221" w:lineRule="auto"/>
        <w:rPr>
          <w:sz w:val="17"/>
          <w:szCs w:val="17"/>
        </w:rPr>
      </w:pPr>
    </w:p>
    <w:p>
      <w:pPr>
        <w:pStyle w:val="2"/>
        <w:spacing w:before="56" w:line="221" w:lineRule="auto"/>
        <w:rPr>
          <w:sz w:val="17"/>
          <w:szCs w:val="17"/>
        </w:rPr>
      </w:pPr>
    </w:p>
    <w:p>
      <w:pPr>
        <w:pStyle w:val="2"/>
        <w:spacing w:before="56" w:line="221" w:lineRule="auto"/>
        <w:rPr>
          <w:sz w:val="17"/>
          <w:szCs w:val="17"/>
        </w:rPr>
      </w:pPr>
    </w:p>
    <w:p>
      <w:pPr>
        <w:pStyle w:val="2"/>
        <w:spacing w:before="56" w:line="221" w:lineRule="auto"/>
        <w:rPr>
          <w:sz w:val="17"/>
          <w:szCs w:val="17"/>
        </w:rPr>
      </w:pPr>
    </w:p>
    <w:p>
      <w:pPr>
        <w:pStyle w:val="2"/>
        <w:spacing w:before="56" w:line="221" w:lineRule="auto"/>
        <w:rPr>
          <w:sz w:val="17"/>
          <w:szCs w:val="17"/>
        </w:rPr>
      </w:pPr>
    </w:p>
    <w:p>
      <w:pPr>
        <w:pStyle w:val="2"/>
        <w:spacing w:before="56" w:line="221" w:lineRule="auto"/>
        <w:rPr>
          <w:sz w:val="17"/>
          <w:szCs w:val="17"/>
        </w:rPr>
      </w:pPr>
    </w:p>
    <w:p>
      <w:pPr>
        <w:pStyle w:val="2"/>
        <w:spacing w:before="56" w:line="221" w:lineRule="auto"/>
        <w:rPr>
          <w:sz w:val="17"/>
          <w:szCs w:val="17"/>
        </w:rPr>
      </w:pPr>
    </w:p>
    <w:p>
      <w:pPr>
        <w:pStyle w:val="2"/>
        <w:spacing w:before="56" w:line="221" w:lineRule="auto"/>
        <w:rPr>
          <w:sz w:val="17"/>
          <w:szCs w:val="17"/>
        </w:rPr>
      </w:pPr>
    </w:p>
    <w:p>
      <w:pPr>
        <w:pStyle w:val="2"/>
        <w:spacing w:before="56" w:line="221" w:lineRule="auto"/>
        <w:rPr>
          <w:sz w:val="17"/>
          <w:szCs w:val="17"/>
        </w:rPr>
      </w:pPr>
    </w:p>
    <w:p>
      <w:pPr>
        <w:pStyle w:val="2"/>
        <w:spacing w:before="56" w:line="221" w:lineRule="auto"/>
        <w:rPr>
          <w:sz w:val="17"/>
          <w:szCs w:val="17"/>
        </w:rPr>
      </w:pPr>
    </w:p>
    <w:p>
      <w:pPr>
        <w:pStyle w:val="2"/>
        <w:spacing w:before="56" w:line="221" w:lineRule="auto"/>
        <w:rPr>
          <w:sz w:val="17"/>
          <w:szCs w:val="17"/>
        </w:rPr>
      </w:pPr>
    </w:p>
    <w:p>
      <w:pPr>
        <w:pStyle w:val="2"/>
        <w:spacing w:before="56" w:line="221" w:lineRule="auto"/>
        <w:rPr>
          <w:sz w:val="17"/>
          <w:szCs w:val="17"/>
        </w:rPr>
      </w:pPr>
    </w:p>
    <w:p>
      <w:pPr>
        <w:pStyle w:val="2"/>
        <w:spacing w:before="56" w:line="221" w:lineRule="auto"/>
        <w:rPr>
          <w:sz w:val="17"/>
          <w:szCs w:val="17"/>
        </w:rPr>
      </w:pPr>
    </w:p>
    <w:p>
      <w:pPr>
        <w:pStyle w:val="2"/>
        <w:spacing w:before="56" w:line="221" w:lineRule="auto"/>
        <w:rPr>
          <w:sz w:val="17"/>
          <w:szCs w:val="17"/>
        </w:rPr>
      </w:pPr>
    </w:p>
    <w:p>
      <w:pPr>
        <w:pStyle w:val="2"/>
        <w:spacing w:before="56" w:line="221" w:lineRule="auto"/>
        <w:rPr>
          <w:sz w:val="17"/>
          <w:szCs w:val="17"/>
        </w:rPr>
      </w:pPr>
    </w:p>
    <w:p>
      <w:pPr>
        <w:pStyle w:val="2"/>
        <w:spacing w:before="56" w:line="221" w:lineRule="auto"/>
        <w:rPr>
          <w:sz w:val="17"/>
          <w:szCs w:val="17"/>
        </w:rPr>
      </w:pPr>
    </w:p>
    <w:p>
      <w:pPr>
        <w:pStyle w:val="2"/>
        <w:spacing w:before="56" w:line="221" w:lineRule="auto"/>
        <w:rPr>
          <w:sz w:val="17"/>
          <w:szCs w:val="17"/>
        </w:rPr>
      </w:pPr>
    </w:p>
    <w:p>
      <w:pPr>
        <w:pStyle w:val="2"/>
        <w:spacing w:before="56" w:line="221" w:lineRule="auto"/>
        <w:rPr>
          <w:sz w:val="17"/>
          <w:szCs w:val="17"/>
        </w:rPr>
      </w:pPr>
    </w:p>
    <w:p>
      <w:pPr>
        <w:pStyle w:val="2"/>
        <w:spacing w:before="56" w:line="221" w:lineRule="auto"/>
        <w:rPr>
          <w:sz w:val="17"/>
          <w:szCs w:val="17"/>
        </w:rPr>
      </w:pPr>
    </w:p>
    <w:p>
      <w:pPr>
        <w:pStyle w:val="2"/>
        <w:spacing w:before="56" w:line="221" w:lineRule="auto"/>
        <w:rPr>
          <w:sz w:val="17"/>
          <w:szCs w:val="17"/>
        </w:rPr>
      </w:pPr>
    </w:p>
    <w:p>
      <w:pPr>
        <w:pStyle w:val="2"/>
        <w:spacing w:before="56" w:line="221" w:lineRule="auto"/>
        <w:rPr>
          <w:sz w:val="17"/>
          <w:szCs w:val="17"/>
        </w:rPr>
      </w:pPr>
    </w:p>
    <w:p>
      <w:pPr>
        <w:pStyle w:val="2"/>
        <w:spacing w:before="56" w:line="221" w:lineRule="auto"/>
        <w:rPr>
          <w:sz w:val="17"/>
          <w:szCs w:val="17"/>
        </w:rPr>
      </w:pPr>
    </w:p>
    <w:p>
      <w:pPr>
        <w:pStyle w:val="2"/>
        <w:spacing w:before="56" w:line="221" w:lineRule="auto"/>
        <w:rPr>
          <w:sz w:val="17"/>
          <w:szCs w:val="17"/>
        </w:rPr>
      </w:pPr>
    </w:p>
    <w:p>
      <w:pPr>
        <w:pStyle w:val="2"/>
        <w:spacing w:before="56" w:line="221" w:lineRule="auto"/>
        <w:rPr>
          <w:sz w:val="17"/>
          <w:szCs w:val="17"/>
        </w:rPr>
      </w:pPr>
    </w:p>
    <w:p>
      <w:pPr>
        <w:pStyle w:val="2"/>
        <w:spacing w:before="56" w:line="221" w:lineRule="auto"/>
        <w:rPr>
          <w:sz w:val="17"/>
          <w:szCs w:val="17"/>
        </w:rPr>
      </w:pPr>
    </w:p>
    <w:p>
      <w:pPr>
        <w:pStyle w:val="2"/>
        <w:spacing w:before="56" w:line="221" w:lineRule="auto"/>
        <w:rPr>
          <w:sz w:val="17"/>
          <w:szCs w:val="17"/>
        </w:rPr>
      </w:pPr>
    </w:p>
    <w:p>
      <w:pPr>
        <w:pStyle w:val="2"/>
        <w:spacing w:before="56" w:line="221" w:lineRule="auto"/>
        <w:rPr>
          <w:sz w:val="17"/>
          <w:szCs w:val="17"/>
        </w:rPr>
      </w:pPr>
    </w:p>
    <w:p>
      <w:pPr>
        <w:pStyle w:val="2"/>
        <w:spacing w:before="56" w:line="221" w:lineRule="auto"/>
        <w:rPr>
          <w:sz w:val="17"/>
          <w:szCs w:val="17"/>
        </w:rPr>
      </w:pPr>
    </w:p>
    <w:p>
      <w:pPr>
        <w:pStyle w:val="2"/>
        <w:spacing w:before="56" w:line="221" w:lineRule="auto"/>
        <w:rPr>
          <w:sz w:val="17"/>
          <w:szCs w:val="17"/>
        </w:rPr>
      </w:pPr>
    </w:p>
    <w:p>
      <w:pPr>
        <w:pStyle w:val="2"/>
        <w:spacing w:before="56" w:line="221" w:lineRule="auto"/>
        <w:rPr>
          <w:sz w:val="17"/>
          <w:szCs w:val="17"/>
        </w:rPr>
      </w:pPr>
    </w:p>
    <w:p>
      <w:pPr>
        <w:pStyle w:val="2"/>
        <w:spacing w:before="56" w:line="221" w:lineRule="auto"/>
        <w:rPr>
          <w:sz w:val="17"/>
          <w:szCs w:val="17"/>
        </w:rPr>
      </w:pPr>
    </w:p>
    <w:p>
      <w:pPr>
        <w:pStyle w:val="2"/>
        <w:spacing w:before="56" w:line="221" w:lineRule="auto"/>
        <w:rPr>
          <w:sz w:val="17"/>
          <w:szCs w:val="17"/>
        </w:rPr>
      </w:pPr>
    </w:p>
    <w:p>
      <w:pPr>
        <w:pStyle w:val="2"/>
        <w:spacing w:before="56" w:line="221" w:lineRule="auto"/>
        <w:rPr>
          <w:sz w:val="17"/>
          <w:szCs w:val="17"/>
        </w:rPr>
      </w:pPr>
    </w:p>
    <w:p>
      <w:pPr>
        <w:pStyle w:val="2"/>
        <w:spacing w:before="56" w:line="221" w:lineRule="auto"/>
        <w:rPr>
          <w:sz w:val="17"/>
          <w:szCs w:val="17"/>
        </w:rPr>
      </w:pPr>
    </w:p>
    <w:tbl>
      <w:tblPr>
        <w:tblStyle w:val="6"/>
        <w:tblW w:w="98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53"/>
        <w:gridCol w:w="2467"/>
        <w:gridCol w:w="2458"/>
        <w:gridCol w:w="2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2453" w:type="dxa"/>
            <w:vMerge w:val="restart"/>
            <w:tcBorders>
              <w:bottom w:val="nil"/>
            </w:tcBorders>
            <w:vAlign w:val="top"/>
          </w:tcPr>
          <w:p>
            <w:pPr>
              <w:spacing w:line="407" w:lineRule="auto"/>
              <w:rPr>
                <w:rFonts w:ascii="Arial"/>
                <w:sz w:val="21"/>
              </w:rPr>
            </w:pPr>
          </w:p>
          <w:p>
            <w:pPr>
              <w:pStyle w:val="7"/>
              <w:spacing w:before="75" w:line="219" w:lineRule="auto"/>
              <w:ind w:left="415"/>
            </w:pPr>
            <w:r>
              <w:rPr>
                <w:spacing w:val="1"/>
              </w:rPr>
              <w:t>股东姓名或名称</w:t>
            </w:r>
          </w:p>
        </w:tc>
        <w:tc>
          <w:tcPr>
            <w:tcW w:w="7377" w:type="dxa"/>
            <w:gridSpan w:val="3"/>
            <w:vAlign w:val="top"/>
          </w:tcPr>
          <w:p>
            <w:pPr>
              <w:pStyle w:val="7"/>
              <w:spacing w:before="194" w:line="219" w:lineRule="auto"/>
              <w:ind w:left="3242"/>
            </w:pPr>
            <w:r>
              <w:rPr>
                <w:spacing w:val="-2"/>
              </w:rPr>
              <w:t>认缴情况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2453" w:type="dxa"/>
            <w:vMerge w:val="continue"/>
            <w:tcBorders>
              <w:top w:val="nil"/>
            </w:tcBorders>
            <w:vAlign w:val="top"/>
          </w:tcPr>
          <w:p>
            <w:pPr>
              <w:rPr>
                <w:rFonts w:ascii="Arial"/>
                <w:sz w:val="21"/>
              </w:rPr>
            </w:pPr>
          </w:p>
        </w:tc>
        <w:tc>
          <w:tcPr>
            <w:tcW w:w="2467" w:type="dxa"/>
            <w:vAlign w:val="top"/>
          </w:tcPr>
          <w:p>
            <w:pPr>
              <w:pStyle w:val="7"/>
              <w:spacing w:before="72" w:line="209" w:lineRule="auto"/>
              <w:ind w:left="532"/>
            </w:pPr>
            <w:r>
              <w:rPr>
                <w:spacing w:val="-2"/>
              </w:rPr>
              <w:t>认缴出资数额</w:t>
            </w:r>
          </w:p>
          <w:p>
            <w:pPr>
              <w:pStyle w:val="7"/>
              <w:spacing w:line="188" w:lineRule="auto"/>
              <w:ind w:left="881"/>
            </w:pPr>
            <w:r>
              <w:rPr>
                <w:spacing w:val="12"/>
              </w:rPr>
              <w:t>(万元)</w:t>
            </w:r>
          </w:p>
        </w:tc>
        <w:tc>
          <w:tcPr>
            <w:tcW w:w="2458" w:type="dxa"/>
            <w:vAlign w:val="top"/>
          </w:tcPr>
          <w:p>
            <w:pPr>
              <w:pStyle w:val="7"/>
              <w:spacing w:before="183" w:line="220" w:lineRule="auto"/>
              <w:ind w:left="765"/>
            </w:pPr>
            <w:r>
              <w:rPr>
                <w:spacing w:val="3"/>
              </w:rPr>
              <w:t>出资期限</w:t>
            </w:r>
          </w:p>
        </w:tc>
        <w:tc>
          <w:tcPr>
            <w:tcW w:w="2452" w:type="dxa"/>
            <w:vAlign w:val="top"/>
          </w:tcPr>
          <w:p>
            <w:pPr>
              <w:pStyle w:val="7"/>
              <w:spacing w:before="183" w:line="221" w:lineRule="auto"/>
              <w:ind w:left="757"/>
            </w:pPr>
            <w:r>
              <w:rPr>
                <w:spacing w:val="2"/>
              </w:rPr>
              <w:t>出资方式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2453" w:type="dxa"/>
            <w:vAlign w:val="top"/>
          </w:tcPr>
          <w:p>
            <w:pPr>
              <w:pStyle w:val="7"/>
              <w:spacing w:before="84" w:line="198" w:lineRule="auto"/>
              <w:ind w:left="754" w:right="65" w:hanging="689"/>
            </w:pPr>
            <w:r>
              <w:rPr>
                <w:spacing w:val="1"/>
              </w:rPr>
              <w:t xml:space="preserve">北京三汇能环科技发展 </w:t>
            </w:r>
            <w:r>
              <w:rPr>
                <w:spacing w:val="7"/>
              </w:rPr>
              <w:t>有限公司</w:t>
            </w:r>
          </w:p>
        </w:tc>
        <w:tc>
          <w:tcPr>
            <w:tcW w:w="2467" w:type="dxa"/>
            <w:vAlign w:val="top"/>
          </w:tcPr>
          <w:p>
            <w:pPr>
              <w:pStyle w:val="7"/>
              <w:spacing w:before="245" w:line="182" w:lineRule="auto"/>
              <w:ind w:left="1161"/>
            </w:pPr>
            <w:r>
              <w:t>7</w:t>
            </w:r>
          </w:p>
        </w:tc>
        <w:tc>
          <w:tcPr>
            <w:tcW w:w="2458" w:type="dxa"/>
            <w:vAlign w:val="top"/>
          </w:tcPr>
          <w:p>
            <w:pPr>
              <w:pStyle w:val="7"/>
              <w:spacing w:before="242" w:line="184" w:lineRule="auto"/>
              <w:ind w:left="644"/>
            </w:pPr>
            <w:r>
              <w:rPr>
                <w:spacing w:val="-2"/>
              </w:rPr>
              <w:t>2099-12-31</w:t>
            </w:r>
          </w:p>
        </w:tc>
        <w:tc>
          <w:tcPr>
            <w:tcW w:w="2452" w:type="dxa"/>
            <w:vAlign w:val="top"/>
          </w:tcPr>
          <w:p>
            <w:pPr>
              <w:pStyle w:val="7"/>
              <w:spacing w:before="182" w:line="219" w:lineRule="auto"/>
              <w:ind w:left="986"/>
            </w:pPr>
            <w:r>
              <w:rPr>
                <w:spacing w:val="13"/>
              </w:rPr>
              <w:t>货币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2453" w:type="dxa"/>
            <w:vAlign w:val="top"/>
          </w:tcPr>
          <w:p>
            <w:pPr>
              <w:pStyle w:val="7"/>
              <w:spacing w:before="197" w:line="221" w:lineRule="auto"/>
              <w:ind w:left="928" w:hanging="928" w:hangingChars="400"/>
            </w:pPr>
            <w:r>
              <w:rPr>
                <w:rFonts w:hint="eastAsia"/>
                <w:spacing w:val="1"/>
                <w:lang w:val="en-US" w:eastAsia="zh-CN"/>
              </w:rPr>
              <w:t>北京兴超能源管理科技有限公司</w:t>
            </w:r>
          </w:p>
        </w:tc>
        <w:tc>
          <w:tcPr>
            <w:tcW w:w="2467" w:type="dxa"/>
            <w:vAlign w:val="top"/>
          </w:tcPr>
          <w:p>
            <w:pPr>
              <w:pStyle w:val="7"/>
              <w:spacing w:before="255" w:line="183" w:lineRule="auto"/>
              <w:ind w:left="1161"/>
            </w:pPr>
            <w:r>
              <w:t>3</w:t>
            </w:r>
          </w:p>
        </w:tc>
        <w:tc>
          <w:tcPr>
            <w:tcW w:w="2458" w:type="dxa"/>
            <w:vAlign w:val="top"/>
          </w:tcPr>
          <w:p>
            <w:pPr>
              <w:pStyle w:val="7"/>
              <w:spacing w:before="254" w:line="184" w:lineRule="auto"/>
              <w:ind w:left="644"/>
            </w:pPr>
            <w:r>
              <w:rPr>
                <w:spacing w:val="-2"/>
              </w:rPr>
              <w:t>2099-12-31</w:t>
            </w:r>
          </w:p>
        </w:tc>
        <w:tc>
          <w:tcPr>
            <w:tcW w:w="2452" w:type="dxa"/>
            <w:vAlign w:val="top"/>
          </w:tcPr>
          <w:p>
            <w:pPr>
              <w:pStyle w:val="7"/>
              <w:spacing w:before="194" w:line="219" w:lineRule="auto"/>
              <w:ind w:left="986"/>
            </w:pPr>
            <w:r>
              <w:rPr>
                <w:spacing w:val="13"/>
              </w:rPr>
              <w:t>货币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2453" w:type="dxa"/>
            <w:vAlign w:val="top"/>
          </w:tcPr>
          <w:p>
            <w:pPr>
              <w:pStyle w:val="7"/>
              <w:spacing w:before="189" w:line="221" w:lineRule="auto"/>
              <w:ind w:left="985"/>
            </w:pPr>
            <w:r>
              <w:rPr>
                <w:spacing w:val="-3"/>
              </w:rPr>
              <w:t>合计</w:t>
            </w:r>
          </w:p>
        </w:tc>
        <w:tc>
          <w:tcPr>
            <w:tcW w:w="2467" w:type="dxa"/>
            <w:vAlign w:val="top"/>
          </w:tcPr>
          <w:p>
            <w:pPr>
              <w:pStyle w:val="7"/>
              <w:spacing w:before="246" w:line="184" w:lineRule="auto"/>
              <w:ind w:left="1112"/>
            </w:pPr>
            <w:r>
              <w:rPr>
                <w:spacing w:val="-7"/>
              </w:rPr>
              <w:t>10</w:t>
            </w:r>
          </w:p>
        </w:tc>
        <w:tc>
          <w:tcPr>
            <w:tcW w:w="4910" w:type="dxa"/>
            <w:gridSpan w:val="2"/>
            <w:vAlign w:val="top"/>
          </w:tcPr>
          <w:p>
            <w:pPr>
              <w:rPr>
                <w:rFonts w:ascii="Arial"/>
                <w:sz w:val="21"/>
              </w:rPr>
            </w:pPr>
          </w:p>
        </w:tc>
      </w:tr>
    </w:tbl>
    <w:p>
      <w:pPr>
        <w:spacing w:line="300" w:lineRule="auto"/>
        <w:rPr>
          <w:rFonts w:ascii="Arial"/>
          <w:sz w:val="21"/>
        </w:rPr>
      </w:pPr>
    </w:p>
    <w:p>
      <w:pPr>
        <w:pStyle w:val="2"/>
        <w:spacing w:before="81" w:line="219" w:lineRule="auto"/>
        <w:ind w:left="1985"/>
      </w:pPr>
      <w:r>
        <w:rPr>
          <w:spacing w:val="-5"/>
        </w:rPr>
        <w:t>第五章</w:t>
      </w:r>
      <w:r>
        <w:rPr>
          <w:rFonts w:hint="eastAsia"/>
          <w:spacing w:val="-5"/>
          <w:lang w:val="en-US" w:eastAsia="zh-CN"/>
        </w:rPr>
        <w:t xml:space="preserve"> </w:t>
      </w:r>
      <w:r>
        <w:rPr>
          <w:spacing w:val="-5"/>
        </w:rPr>
        <w:t>公司的机构及其产生办法、职权、议事规则</w:t>
      </w:r>
    </w:p>
    <w:p>
      <w:pPr>
        <w:spacing w:line="400" w:lineRule="auto"/>
        <w:rPr>
          <w:rFonts w:ascii="Arial"/>
          <w:sz w:val="21"/>
        </w:rPr>
      </w:pPr>
    </w:p>
    <w:p>
      <w:pPr>
        <w:pStyle w:val="2"/>
        <w:spacing w:before="81" w:line="491" w:lineRule="exact"/>
        <w:ind w:left="535"/>
      </w:pPr>
      <w:r>
        <w:rPr>
          <w:spacing w:val="7"/>
          <w:position w:val="18"/>
        </w:rPr>
        <w:t>第八条</w:t>
      </w:r>
      <w:r>
        <w:rPr>
          <w:rFonts w:hint="eastAsia"/>
          <w:spacing w:val="7"/>
          <w:position w:val="18"/>
          <w:lang w:val="en-US" w:eastAsia="zh-CN"/>
        </w:rPr>
        <w:t xml:space="preserve"> </w:t>
      </w:r>
      <w:r>
        <w:rPr>
          <w:spacing w:val="7"/>
          <w:position w:val="18"/>
        </w:rPr>
        <w:t>股东会由全体股东组成，是公司的权力机构，</w:t>
      </w:r>
      <w:r>
        <w:rPr>
          <w:spacing w:val="6"/>
          <w:position w:val="18"/>
        </w:rPr>
        <w:t>行使下列职权：</w:t>
      </w:r>
    </w:p>
    <w:p>
      <w:pPr>
        <w:pStyle w:val="2"/>
        <w:spacing w:line="219" w:lineRule="auto"/>
        <w:ind w:left="654"/>
      </w:pPr>
      <w:r>
        <w:rPr>
          <w:spacing w:val="7"/>
        </w:rPr>
        <w:t>(一)决定公司的经营方针和投资计划；</w:t>
      </w:r>
    </w:p>
    <w:p>
      <w:pPr>
        <w:pStyle w:val="2"/>
        <w:spacing w:before="222" w:line="521" w:lineRule="exact"/>
        <w:ind w:left="654"/>
      </w:pPr>
      <w:r>
        <w:rPr>
          <w:spacing w:val="7"/>
          <w:position w:val="20"/>
        </w:rPr>
        <w:t>(二)选举和更换非由职工代表担任的执行董事、监事，决定有关执行董事、</w:t>
      </w:r>
    </w:p>
    <w:p>
      <w:pPr>
        <w:pStyle w:val="2"/>
        <w:spacing w:before="1" w:line="219" w:lineRule="auto"/>
        <w:ind w:left="25"/>
      </w:pPr>
      <w:r>
        <w:rPr>
          <w:spacing w:val="-4"/>
        </w:rPr>
        <w:t>监事的报酬事项；</w:t>
      </w:r>
    </w:p>
    <w:p>
      <w:pPr>
        <w:pStyle w:val="2"/>
        <w:spacing w:before="201" w:line="510" w:lineRule="exact"/>
        <w:ind w:left="654"/>
      </w:pPr>
      <w:r>
        <w:rPr>
          <w:spacing w:val="7"/>
          <w:position w:val="19"/>
        </w:rPr>
        <w:t>(三)审议批准执行董事的报告；</w:t>
      </w:r>
    </w:p>
    <w:p>
      <w:pPr>
        <w:pStyle w:val="2"/>
        <w:spacing w:before="1" w:line="217" w:lineRule="auto"/>
        <w:ind w:left="654"/>
      </w:pPr>
      <w:r>
        <w:rPr>
          <w:spacing w:val="7"/>
        </w:rPr>
        <w:t>(四)审议批准监事的报告；</w:t>
      </w:r>
    </w:p>
    <w:p>
      <w:pPr>
        <w:pStyle w:val="2"/>
        <w:spacing w:before="217" w:line="219" w:lineRule="auto"/>
        <w:ind w:left="654"/>
      </w:pPr>
      <w:r>
        <w:rPr>
          <w:spacing w:val="7"/>
        </w:rPr>
        <w:t>(五)审议批准公司的年度财务预算方案、决算方案；</w:t>
      </w:r>
    </w:p>
    <w:p>
      <w:pPr>
        <w:pStyle w:val="2"/>
        <w:spacing w:before="214" w:line="220" w:lineRule="auto"/>
        <w:ind w:left="654"/>
      </w:pPr>
      <w:r>
        <w:rPr>
          <w:spacing w:val="7"/>
        </w:rPr>
        <w:t>(六)审议批准公司的利润分配方案和弥补亏损的方案；</w:t>
      </w:r>
    </w:p>
    <w:p>
      <w:pPr>
        <w:pStyle w:val="2"/>
        <w:spacing w:before="210" w:line="511" w:lineRule="exact"/>
        <w:ind w:left="654"/>
      </w:pPr>
      <w:r>
        <w:rPr>
          <w:spacing w:val="7"/>
          <w:position w:val="19"/>
        </w:rPr>
        <w:t>(七)对公司增加或者减少注册资本作出决议；</w:t>
      </w:r>
    </w:p>
    <w:p>
      <w:pPr>
        <w:pStyle w:val="2"/>
        <w:spacing w:before="1" w:line="219" w:lineRule="auto"/>
        <w:ind w:left="654"/>
      </w:pPr>
      <w:r>
        <w:rPr>
          <w:spacing w:val="7"/>
        </w:rPr>
        <w:t>(八)对发行公司债券作出决议；</w:t>
      </w:r>
    </w:p>
    <w:p>
      <w:pPr>
        <w:pStyle w:val="2"/>
        <w:spacing w:before="213" w:line="219" w:lineRule="auto"/>
        <w:ind w:left="654"/>
        <w:rPr>
          <w:rFonts w:hint="eastAsia" w:eastAsia="宋体"/>
          <w:lang w:eastAsia="zh-CN"/>
        </w:rPr>
      </w:pPr>
      <w:r>
        <w:rPr>
          <w:spacing w:val="7"/>
        </w:rPr>
        <w:t>(九)对公司合并、分立、解散、清算或者变更公司形</w:t>
      </w:r>
      <w:r>
        <w:rPr>
          <w:spacing w:val="6"/>
        </w:rPr>
        <w:t>式作出</w:t>
      </w:r>
      <w:r>
        <w:rPr>
          <w:rFonts w:hint="eastAsia"/>
          <w:spacing w:val="6"/>
          <w:lang w:eastAsia="zh-CN"/>
        </w:rPr>
        <w:t>决议；</w:t>
      </w:r>
    </w:p>
    <w:p>
      <w:pPr>
        <w:pStyle w:val="2"/>
        <w:spacing w:before="212" w:line="219" w:lineRule="auto"/>
        <w:ind w:left="654"/>
      </w:pPr>
      <w:r>
        <w:rPr>
          <w:spacing w:val="9"/>
        </w:rPr>
        <w:t>(十)修改公司章程。</w:t>
      </w:r>
    </w:p>
    <w:p>
      <w:pPr>
        <w:pStyle w:val="2"/>
        <w:spacing w:before="213" w:line="219" w:lineRule="auto"/>
        <w:ind w:left="535"/>
      </w:pPr>
      <w:r>
        <w:rPr>
          <w:spacing w:val="9"/>
        </w:rPr>
        <w:t>第九条</w:t>
      </w:r>
      <w:r>
        <w:rPr>
          <w:rFonts w:hint="eastAsia"/>
          <w:spacing w:val="9"/>
          <w:lang w:val="en-US" w:eastAsia="zh-CN"/>
        </w:rPr>
        <w:t xml:space="preserve"> </w:t>
      </w:r>
      <w:r>
        <w:rPr>
          <w:spacing w:val="9"/>
        </w:rPr>
        <w:t>股东会的首次会议由出资最多的股东召集和主持</w:t>
      </w:r>
    </w:p>
    <w:p>
      <w:pPr>
        <w:pStyle w:val="2"/>
        <w:spacing w:before="214" w:line="510" w:lineRule="exact"/>
        <w:ind w:left="535"/>
      </w:pPr>
      <w:r>
        <w:rPr>
          <w:spacing w:val="8"/>
          <w:position w:val="19"/>
        </w:rPr>
        <w:t>第十条</w:t>
      </w:r>
      <w:r>
        <w:rPr>
          <w:rFonts w:hint="eastAsia"/>
          <w:spacing w:val="8"/>
          <w:position w:val="19"/>
          <w:lang w:val="en-US" w:eastAsia="zh-CN"/>
        </w:rPr>
        <w:t xml:space="preserve"> </w:t>
      </w:r>
      <w:r>
        <w:rPr>
          <w:spacing w:val="8"/>
          <w:position w:val="19"/>
        </w:rPr>
        <w:t>股东会会议由股东按照出资比例行使表决权。</w:t>
      </w:r>
    </w:p>
    <w:p>
      <w:pPr>
        <w:pStyle w:val="2"/>
        <w:spacing w:before="1" w:line="218" w:lineRule="auto"/>
        <w:ind w:left="535"/>
      </w:pPr>
      <w:r>
        <w:rPr>
          <w:spacing w:val="7"/>
        </w:rPr>
        <w:t>第十一条</w:t>
      </w:r>
      <w:r>
        <w:rPr>
          <w:rFonts w:hint="eastAsia"/>
          <w:spacing w:val="7"/>
          <w:lang w:val="en-US" w:eastAsia="zh-CN"/>
        </w:rPr>
        <w:t xml:space="preserve"> </w:t>
      </w:r>
      <w:r>
        <w:rPr>
          <w:spacing w:val="7"/>
        </w:rPr>
        <w:t>股东会会议分为定期会议和临时会议。</w:t>
      </w:r>
    </w:p>
    <w:p>
      <w:pPr>
        <w:pStyle w:val="2"/>
        <w:spacing w:before="213" w:line="219" w:lineRule="auto"/>
        <w:ind w:left="535"/>
      </w:pPr>
      <w:r>
        <w:rPr>
          <w:spacing w:val="2"/>
        </w:rPr>
        <w:t>召开股东会会议，应当于会议召开十五日以前通知全体股东。</w:t>
      </w:r>
    </w:p>
    <w:p>
      <w:pPr>
        <w:pStyle w:val="2"/>
        <w:spacing w:before="224" w:line="500" w:lineRule="exact"/>
        <w:ind w:left="535"/>
      </w:pPr>
      <w:r>
        <w:rPr>
          <w:spacing w:val="5"/>
          <w:position w:val="19"/>
        </w:rPr>
        <w:t>定期会议按每年定时召开。代表十分之一以上表决权的股东，执行董事，监事</w:t>
      </w:r>
    </w:p>
    <w:p>
      <w:pPr>
        <w:pStyle w:val="2"/>
        <w:spacing w:before="1" w:line="218" w:lineRule="auto"/>
        <w:ind w:left="35"/>
      </w:pPr>
      <w:r>
        <w:rPr>
          <w:spacing w:val="2"/>
        </w:rPr>
        <w:t>提议召开临时会议的，应当召开临时会议。</w:t>
      </w:r>
    </w:p>
    <w:p>
      <w:pPr>
        <w:pStyle w:val="2"/>
        <w:spacing w:before="224" w:line="219" w:lineRule="auto"/>
        <w:ind w:left="535"/>
      </w:pPr>
      <w:r>
        <w:rPr>
          <w:spacing w:val="7"/>
        </w:rPr>
        <w:t>第十二条</w:t>
      </w:r>
      <w:r>
        <w:rPr>
          <w:rFonts w:hint="eastAsia"/>
          <w:spacing w:val="7"/>
          <w:lang w:val="en-US" w:eastAsia="zh-CN"/>
        </w:rPr>
        <w:t xml:space="preserve"> </w:t>
      </w:r>
      <w:r>
        <w:rPr>
          <w:spacing w:val="7"/>
        </w:rPr>
        <w:t>股东会会议由执行董事召集和主持。</w:t>
      </w:r>
    </w:p>
    <w:p>
      <w:pPr>
        <w:pStyle w:val="2"/>
        <w:spacing w:before="56" w:line="221" w:lineRule="auto"/>
        <w:rPr>
          <w:spacing w:val="5"/>
        </w:rPr>
      </w:pPr>
      <w:r>
        <w:rPr>
          <w:spacing w:val="5"/>
        </w:rPr>
        <w:t>执行董事不能履行或者不履行召集股东会会议职责的，由监事召集和主持；监</w:t>
      </w:r>
    </w:p>
    <w:p>
      <w:pPr>
        <w:pStyle w:val="2"/>
        <w:spacing w:before="56" w:line="221" w:lineRule="auto"/>
        <w:rPr>
          <w:spacing w:val="5"/>
        </w:rPr>
      </w:pPr>
    </w:p>
    <w:p>
      <w:pPr>
        <w:pStyle w:val="2"/>
        <w:spacing w:before="50" w:line="219" w:lineRule="auto"/>
      </w:pPr>
      <w:r>
        <w:rPr>
          <w:spacing w:val="3"/>
        </w:rPr>
        <w:t>事不召集和主持的，代表十分之一以上表决权的股东可以自行召集和主持。</w:t>
      </w:r>
    </w:p>
    <w:p>
      <w:pPr>
        <w:pStyle w:val="2"/>
        <w:spacing w:before="202" w:line="377" w:lineRule="auto"/>
        <w:ind w:firstLine="500"/>
      </w:pPr>
      <w:r>
        <w:rPr>
          <w:spacing w:val="8"/>
        </w:rPr>
        <w:t>第十三条</w:t>
      </w:r>
      <w:r>
        <w:rPr>
          <w:rFonts w:hint="eastAsia"/>
          <w:spacing w:val="8"/>
          <w:lang w:val="en-US" w:eastAsia="zh-CN"/>
        </w:rPr>
        <w:t xml:space="preserve"> </w:t>
      </w:r>
      <w:r>
        <w:rPr>
          <w:spacing w:val="8"/>
        </w:rPr>
        <w:t>股东会会议作出修改公司章程、增加或者减少注册资本的决议，以</w:t>
      </w:r>
      <w:r>
        <w:rPr>
          <w:spacing w:val="3"/>
        </w:rPr>
        <w:t xml:space="preserve">  </w:t>
      </w:r>
      <w:r>
        <w:rPr>
          <w:spacing w:val="4"/>
        </w:rPr>
        <w:t>及公司合并、分立、解散或者变更公司形式的决议，必须经代表三分之二以上表决</w:t>
      </w:r>
    </w:p>
    <w:p>
      <w:pPr>
        <w:pStyle w:val="2"/>
        <w:spacing w:line="219" w:lineRule="auto"/>
      </w:pPr>
      <w:r>
        <w:rPr>
          <w:spacing w:val="-6"/>
        </w:rPr>
        <w:t>权的股东通过。</w:t>
      </w:r>
    </w:p>
    <w:p>
      <w:pPr>
        <w:pStyle w:val="2"/>
        <w:spacing w:before="212" w:line="490" w:lineRule="exact"/>
        <w:ind w:left="500"/>
      </w:pPr>
      <w:r>
        <w:rPr>
          <w:spacing w:val="8"/>
          <w:position w:val="18"/>
        </w:rPr>
        <w:t>第十四条</w:t>
      </w:r>
      <w:r>
        <w:rPr>
          <w:rFonts w:hint="eastAsia"/>
          <w:spacing w:val="8"/>
          <w:position w:val="18"/>
          <w:lang w:val="en-US" w:eastAsia="zh-CN"/>
        </w:rPr>
        <w:t xml:space="preserve"> </w:t>
      </w:r>
      <w:r>
        <w:rPr>
          <w:spacing w:val="8"/>
          <w:position w:val="18"/>
        </w:rPr>
        <w:t>公司不设董事会，设执行董事一人，由股东会选举产生。</w:t>
      </w:r>
      <w:r>
        <w:rPr>
          <w:spacing w:val="7"/>
          <w:position w:val="18"/>
        </w:rPr>
        <w:t>执行董事</w:t>
      </w:r>
    </w:p>
    <w:p>
      <w:pPr>
        <w:pStyle w:val="2"/>
        <w:spacing w:line="219" w:lineRule="auto"/>
      </w:pPr>
      <w:r>
        <w:rPr>
          <w:spacing w:val="-1"/>
        </w:rPr>
        <w:t xml:space="preserve">任期 </w:t>
      </w:r>
      <w:r>
        <w:rPr>
          <w:spacing w:val="16"/>
          <w:u w:val="single" w:color="auto"/>
        </w:rPr>
        <w:t xml:space="preserve">  </w:t>
      </w:r>
      <w:r>
        <w:rPr>
          <w:spacing w:val="-1"/>
          <w:u w:val="single" w:color="auto"/>
        </w:rPr>
        <w:t xml:space="preserve">3  </w:t>
      </w:r>
      <w:r>
        <w:rPr>
          <w:spacing w:val="-104"/>
        </w:rPr>
        <w:t xml:space="preserve"> </w:t>
      </w:r>
      <w:r>
        <w:rPr>
          <w:spacing w:val="-1"/>
        </w:rPr>
        <w:t>年，任期届满，可连选连任。</w:t>
      </w:r>
    </w:p>
    <w:p>
      <w:pPr>
        <w:pStyle w:val="2"/>
        <w:spacing w:before="233" w:line="219" w:lineRule="auto"/>
        <w:ind w:left="500"/>
      </w:pPr>
      <w:r>
        <w:rPr>
          <w:spacing w:val="6"/>
        </w:rPr>
        <w:t>第十五条</w:t>
      </w:r>
      <w:r>
        <w:rPr>
          <w:rFonts w:hint="eastAsia"/>
          <w:spacing w:val="6"/>
          <w:lang w:val="en-US" w:eastAsia="zh-CN"/>
        </w:rPr>
        <w:t xml:space="preserve"> </w:t>
      </w:r>
      <w:r>
        <w:rPr>
          <w:spacing w:val="6"/>
        </w:rPr>
        <w:t>执行董事行使下列职权：</w:t>
      </w:r>
    </w:p>
    <w:p>
      <w:pPr>
        <w:pStyle w:val="2"/>
        <w:spacing w:before="211" w:line="511" w:lineRule="exact"/>
        <w:ind w:left="629"/>
      </w:pPr>
      <w:r>
        <w:rPr>
          <w:spacing w:val="7"/>
          <w:position w:val="19"/>
        </w:rPr>
        <w:t>(一)负责召集股东会，并向股东会议报告工作；</w:t>
      </w:r>
    </w:p>
    <w:p>
      <w:pPr>
        <w:pStyle w:val="2"/>
        <w:spacing w:before="1" w:line="218" w:lineRule="auto"/>
        <w:ind w:left="629"/>
      </w:pPr>
      <w:r>
        <w:rPr>
          <w:spacing w:val="7"/>
        </w:rPr>
        <w:t>(二)执行股东会的决议；</w:t>
      </w:r>
    </w:p>
    <w:p>
      <w:pPr>
        <w:pStyle w:val="2"/>
        <w:spacing w:before="216" w:line="220" w:lineRule="auto"/>
        <w:ind w:left="629"/>
      </w:pPr>
      <w:r>
        <w:rPr>
          <w:spacing w:val="7"/>
        </w:rPr>
        <w:t>(三)审定公司的经营计划和投资方案；</w:t>
      </w:r>
    </w:p>
    <w:p>
      <w:pPr>
        <w:pStyle w:val="2"/>
        <w:spacing w:before="231" w:line="491" w:lineRule="exact"/>
        <w:ind w:left="629"/>
      </w:pPr>
      <w:r>
        <w:rPr>
          <w:spacing w:val="6"/>
          <w:position w:val="18"/>
        </w:rPr>
        <w:t>(四)制订公司的年度财务预算方案、决算方案；</w:t>
      </w:r>
    </w:p>
    <w:p>
      <w:pPr>
        <w:pStyle w:val="2"/>
        <w:spacing w:line="220" w:lineRule="auto"/>
        <w:ind w:left="629"/>
      </w:pPr>
      <w:r>
        <w:rPr>
          <w:spacing w:val="7"/>
        </w:rPr>
        <w:t>(五)制订公司的利润分配方案和弥补亏损方案；</w:t>
      </w:r>
    </w:p>
    <w:p>
      <w:pPr>
        <w:pStyle w:val="2"/>
        <w:spacing w:before="210" w:line="511" w:lineRule="exact"/>
        <w:ind w:left="629"/>
      </w:pPr>
      <w:r>
        <w:rPr>
          <w:spacing w:val="7"/>
          <w:position w:val="19"/>
        </w:rPr>
        <w:t>(六)制订公司增加或者减少注册资本以及发</w:t>
      </w:r>
      <w:r>
        <w:rPr>
          <w:spacing w:val="6"/>
          <w:position w:val="19"/>
        </w:rPr>
        <w:t>行公司债券的方案；</w:t>
      </w:r>
    </w:p>
    <w:p>
      <w:pPr>
        <w:pStyle w:val="2"/>
        <w:spacing w:before="1" w:line="219" w:lineRule="auto"/>
        <w:ind w:left="629"/>
      </w:pPr>
      <w:r>
        <w:rPr>
          <w:spacing w:val="7"/>
        </w:rPr>
        <w:t>(七)制订公司合并、分立、变更公司形式、解散的方案；</w:t>
      </w:r>
    </w:p>
    <w:p>
      <w:pPr>
        <w:pStyle w:val="2"/>
        <w:spacing w:before="211" w:line="219" w:lineRule="auto"/>
        <w:ind w:left="629"/>
      </w:pPr>
      <w:r>
        <w:rPr>
          <w:spacing w:val="6"/>
        </w:rPr>
        <w:t>(八)决定公司内部管理机构的设置；</w:t>
      </w:r>
    </w:p>
    <w:p>
      <w:pPr>
        <w:pStyle w:val="2"/>
        <w:spacing w:before="215" w:line="530" w:lineRule="exact"/>
        <w:jc w:val="center"/>
      </w:pPr>
      <w:r>
        <w:rPr>
          <w:spacing w:val="8"/>
          <w:position w:val="21"/>
        </w:rPr>
        <w:t>(九)决定聘任或者解聘公司经理及其报酬事项，并根据经理的提名决定聘任</w:t>
      </w:r>
    </w:p>
    <w:p>
      <w:pPr>
        <w:pStyle w:val="2"/>
        <w:spacing w:line="219" w:lineRule="auto"/>
      </w:pPr>
      <w:r>
        <w:rPr>
          <w:spacing w:val="1"/>
        </w:rPr>
        <w:t>或者解聘公司副经理、财务负责人及其报酬事项；</w:t>
      </w:r>
    </w:p>
    <w:p>
      <w:pPr>
        <w:pStyle w:val="2"/>
        <w:spacing w:before="202" w:line="219" w:lineRule="auto"/>
        <w:ind w:left="629"/>
      </w:pPr>
      <w:r>
        <w:rPr>
          <w:spacing w:val="9"/>
        </w:rPr>
        <w:t>(十)制定公司的基本管理制度。</w:t>
      </w:r>
    </w:p>
    <w:p>
      <w:pPr>
        <w:pStyle w:val="2"/>
        <w:spacing w:before="215" w:line="506" w:lineRule="exact"/>
        <w:ind w:left="500"/>
      </w:pPr>
      <w:r>
        <w:rPr>
          <w:spacing w:val="8"/>
          <w:position w:val="19"/>
        </w:rPr>
        <w:t>第十六条</w:t>
      </w:r>
      <w:r>
        <w:rPr>
          <w:rFonts w:hint="eastAsia"/>
          <w:spacing w:val="8"/>
          <w:position w:val="19"/>
          <w:lang w:val="en-US" w:eastAsia="zh-CN"/>
        </w:rPr>
        <w:t xml:space="preserve"> </w:t>
      </w:r>
      <w:r>
        <w:rPr>
          <w:spacing w:val="8"/>
          <w:position w:val="19"/>
        </w:rPr>
        <w:t>公司设经理，由执行董事决定聘任或者解聘。经理对执行董事负责</w:t>
      </w:r>
    </w:p>
    <w:p>
      <w:pPr>
        <w:pStyle w:val="2"/>
        <w:spacing w:before="1" w:line="216" w:lineRule="auto"/>
      </w:pPr>
      <w:r>
        <w:rPr>
          <w:spacing w:val="8"/>
        </w:rPr>
        <w:t>,行使下列职权：</w:t>
      </w:r>
    </w:p>
    <w:p>
      <w:pPr>
        <w:pStyle w:val="2"/>
        <w:spacing w:before="229" w:line="219" w:lineRule="auto"/>
        <w:ind w:left="629"/>
      </w:pPr>
      <w:r>
        <w:rPr>
          <w:spacing w:val="7"/>
        </w:rPr>
        <w:t>(一)主持公司的生产经营管理工作，组织实施股东会决</w:t>
      </w:r>
      <w:r>
        <w:rPr>
          <w:rFonts w:hint="eastAsia"/>
          <w:spacing w:val="7"/>
          <w:lang w:eastAsia="zh-CN"/>
        </w:rPr>
        <w:t>议</w:t>
      </w:r>
      <w:r>
        <w:rPr>
          <w:spacing w:val="7"/>
        </w:rPr>
        <w:t>；</w:t>
      </w:r>
    </w:p>
    <w:p>
      <w:pPr>
        <w:pStyle w:val="2"/>
        <w:spacing w:before="205" w:line="499" w:lineRule="exact"/>
        <w:ind w:left="629"/>
      </w:pPr>
      <w:r>
        <w:rPr>
          <w:spacing w:val="6"/>
          <w:position w:val="18"/>
        </w:rPr>
        <w:t>(二)组织实施公司年度经营计划和投资方案；</w:t>
      </w:r>
    </w:p>
    <w:p>
      <w:pPr>
        <w:pStyle w:val="2"/>
        <w:spacing w:before="1" w:line="218" w:lineRule="auto"/>
        <w:ind w:left="629"/>
      </w:pPr>
      <w:r>
        <w:rPr>
          <w:spacing w:val="7"/>
        </w:rPr>
        <w:t>(三)拟订公司内部管理机构设置方案；</w:t>
      </w:r>
    </w:p>
    <w:p>
      <w:pPr>
        <w:pStyle w:val="2"/>
        <w:spacing w:before="224" w:line="510" w:lineRule="exact"/>
        <w:ind w:left="629"/>
      </w:pPr>
      <w:r>
        <w:rPr>
          <w:spacing w:val="7"/>
          <w:position w:val="19"/>
        </w:rPr>
        <w:t>(四)拟订公司的基本管理制度；</w:t>
      </w:r>
    </w:p>
    <w:p>
      <w:pPr>
        <w:pStyle w:val="2"/>
        <w:spacing w:before="1" w:line="218" w:lineRule="auto"/>
        <w:ind w:left="629"/>
      </w:pPr>
      <w:r>
        <w:rPr>
          <w:spacing w:val="8"/>
        </w:rPr>
        <w:t>(五)制定公司的具体规章；</w:t>
      </w:r>
    </w:p>
    <w:p>
      <w:pPr>
        <w:pStyle w:val="2"/>
        <w:spacing w:before="225" w:line="219" w:lineRule="auto"/>
        <w:ind w:left="629"/>
      </w:pPr>
      <w:r>
        <w:rPr>
          <w:spacing w:val="6"/>
        </w:rPr>
        <w:t>(六)提请聘任或者解聘公司副经理、财务负责人；</w:t>
      </w:r>
    </w:p>
    <w:p>
      <w:pPr>
        <w:pStyle w:val="2"/>
        <w:spacing w:before="202" w:line="219" w:lineRule="auto"/>
        <w:ind w:right="6"/>
        <w:jc w:val="center"/>
      </w:pPr>
      <w:r>
        <w:rPr>
          <w:spacing w:val="8"/>
        </w:rPr>
        <w:t>(七)决定聘任或者解聘除应由股东会决定聘任或者解聘以外的负责管理人员</w:t>
      </w:r>
    </w:p>
    <w:p>
      <w:pPr>
        <w:pStyle w:val="2"/>
        <w:spacing w:before="81" w:line="219" w:lineRule="auto"/>
        <w:ind w:firstLine="512" w:firstLineChars="200"/>
      </w:pPr>
      <w:r>
        <w:rPr>
          <w:spacing w:val="8"/>
        </w:rPr>
        <w:t>(八)股东会授予的其他职权。</w:t>
      </w:r>
    </w:p>
    <w:p>
      <w:pPr>
        <w:pStyle w:val="2"/>
        <w:spacing w:before="214" w:line="507" w:lineRule="auto"/>
        <w:ind w:left="500"/>
      </w:pPr>
      <w:r>
        <w:rPr>
          <w:spacing w:val="7"/>
        </w:rPr>
        <w:t>第十七条</w:t>
      </w:r>
      <w:r>
        <w:rPr>
          <w:rFonts w:hint="eastAsia"/>
          <w:spacing w:val="7"/>
          <w:lang w:val="en-US" w:eastAsia="zh-CN"/>
        </w:rPr>
        <w:t xml:space="preserve"> </w:t>
      </w:r>
      <w:r>
        <w:rPr>
          <w:spacing w:val="7"/>
        </w:rPr>
        <w:t xml:space="preserve">公司不设监事会，设监事 </w:t>
      </w:r>
      <w:r>
        <w:rPr>
          <w:spacing w:val="7"/>
          <w:position w:val="-4"/>
          <w:sz w:val="28"/>
          <w:szCs w:val="28"/>
          <w:u w:val="single" w:color="auto"/>
        </w:rPr>
        <w:t>1</w:t>
      </w:r>
      <w:r>
        <w:rPr>
          <w:spacing w:val="37"/>
          <w:position w:val="-4"/>
          <w:sz w:val="28"/>
          <w:szCs w:val="28"/>
        </w:rPr>
        <w:t xml:space="preserve">   </w:t>
      </w:r>
      <w:r>
        <w:rPr>
          <w:spacing w:val="7"/>
        </w:rPr>
        <w:t>人，由股</w:t>
      </w:r>
      <w:r>
        <w:rPr>
          <w:spacing w:val="6"/>
        </w:rPr>
        <w:t>东会选举产生；监事的任</w:t>
      </w:r>
      <w:r>
        <w:t>期每届为</w:t>
      </w:r>
      <w:r>
        <w:rPr>
          <w:spacing w:val="-86"/>
        </w:rPr>
        <w:t xml:space="preserve"> </w:t>
      </w:r>
      <w:r>
        <w:rPr>
          <w:u w:val="single" w:color="auto"/>
        </w:rPr>
        <w:t xml:space="preserve">  3  </w:t>
      </w:r>
      <w:r>
        <w:rPr>
          <w:spacing w:val="-115"/>
        </w:rPr>
        <w:t xml:space="preserve"> </w:t>
      </w:r>
      <w:r>
        <w:t>年，任期届满，可连选连任。</w:t>
      </w:r>
    </w:p>
    <w:p>
      <w:pPr>
        <w:pStyle w:val="2"/>
        <w:spacing w:before="222" w:line="510" w:lineRule="exact"/>
        <w:ind w:left="530"/>
      </w:pPr>
      <w:r>
        <w:rPr>
          <w:spacing w:val="8"/>
          <w:position w:val="19"/>
        </w:rPr>
        <w:t>第十八条</w:t>
      </w:r>
      <w:r>
        <w:rPr>
          <w:rFonts w:hint="eastAsia"/>
          <w:spacing w:val="8"/>
          <w:position w:val="19"/>
          <w:lang w:val="en-US" w:eastAsia="zh-CN"/>
        </w:rPr>
        <w:t xml:space="preserve"> </w:t>
      </w:r>
      <w:r>
        <w:rPr>
          <w:spacing w:val="8"/>
          <w:position w:val="19"/>
        </w:rPr>
        <w:t>监事行使下列职权：</w:t>
      </w:r>
    </w:p>
    <w:p>
      <w:pPr>
        <w:pStyle w:val="2"/>
        <w:spacing w:line="219" w:lineRule="auto"/>
        <w:ind w:left="649"/>
      </w:pPr>
      <w:r>
        <w:rPr>
          <w:spacing w:val="7"/>
        </w:rPr>
        <w:t>(一)检查公司财务；</w:t>
      </w:r>
    </w:p>
    <w:p>
      <w:pPr>
        <w:pStyle w:val="2"/>
        <w:spacing w:before="212" w:line="510" w:lineRule="exact"/>
        <w:ind w:right="32"/>
        <w:jc w:val="center"/>
      </w:pPr>
      <w:r>
        <w:rPr>
          <w:spacing w:val="9"/>
          <w:position w:val="19"/>
        </w:rPr>
        <w:t>(二)对执行董事、高级管理人员执行公司职务的行为进行监</w:t>
      </w:r>
      <w:r>
        <w:rPr>
          <w:spacing w:val="8"/>
          <w:position w:val="19"/>
        </w:rPr>
        <w:t>督，对违反法律</w:t>
      </w:r>
    </w:p>
    <w:p>
      <w:pPr>
        <w:pStyle w:val="2"/>
        <w:spacing w:line="218" w:lineRule="auto"/>
      </w:pPr>
      <w:r>
        <w:rPr>
          <w:spacing w:val="3"/>
        </w:rPr>
        <w:t>、行政法规、公司章程或者股东会决议的执行董事、高级管理人员提出罢免的建议</w:t>
      </w:r>
    </w:p>
    <w:p>
      <w:pPr>
        <w:spacing w:line="324" w:lineRule="auto"/>
        <w:rPr>
          <w:rFonts w:ascii="Arial"/>
          <w:sz w:val="21"/>
        </w:rPr>
      </w:pPr>
    </w:p>
    <w:p>
      <w:pPr>
        <w:spacing w:line="325" w:lineRule="auto"/>
        <w:rPr>
          <w:rFonts w:ascii="Arial"/>
          <w:sz w:val="21"/>
        </w:rPr>
      </w:pPr>
    </w:p>
    <w:p>
      <w:pPr>
        <w:pStyle w:val="2"/>
        <w:spacing w:before="82" w:line="500" w:lineRule="exact"/>
        <w:ind w:left="649"/>
      </w:pPr>
      <w:r>
        <w:rPr>
          <w:spacing w:val="7"/>
          <w:position w:val="18"/>
        </w:rPr>
        <w:t>(三)当执行董事、高级管理人员的行为损害公司的利益时，要求执行董事、</w:t>
      </w:r>
    </w:p>
    <w:p>
      <w:pPr>
        <w:pStyle w:val="2"/>
        <w:spacing w:line="219" w:lineRule="auto"/>
      </w:pPr>
      <w:r>
        <w:rPr>
          <w:spacing w:val="-4"/>
        </w:rPr>
        <w:t>高级管理人员予以纠正；</w:t>
      </w:r>
    </w:p>
    <w:p>
      <w:pPr>
        <w:pStyle w:val="2"/>
        <w:spacing w:before="213" w:line="510" w:lineRule="exact"/>
        <w:ind w:right="59"/>
        <w:jc w:val="right"/>
      </w:pPr>
      <w:r>
        <w:rPr>
          <w:spacing w:val="8"/>
          <w:position w:val="19"/>
        </w:rPr>
        <w:t>(四)提议召开临时股东会会议，在执行董事不履行本法规定的召集和主持股</w:t>
      </w:r>
    </w:p>
    <w:p>
      <w:pPr>
        <w:pStyle w:val="2"/>
        <w:spacing w:before="1" w:line="218" w:lineRule="auto"/>
      </w:pPr>
      <w:r>
        <w:rPr>
          <w:spacing w:val="-1"/>
        </w:rPr>
        <w:t>东会会议职责时召集和主持股东会会议；</w:t>
      </w:r>
    </w:p>
    <w:p>
      <w:pPr>
        <w:pStyle w:val="2"/>
        <w:spacing w:before="213" w:line="219" w:lineRule="auto"/>
        <w:ind w:left="649"/>
      </w:pPr>
      <w:r>
        <w:rPr>
          <w:spacing w:val="6"/>
        </w:rPr>
        <w:t>(五)向股东会会议提出提案；</w:t>
      </w:r>
    </w:p>
    <w:p>
      <w:pPr>
        <w:pStyle w:val="2"/>
        <w:spacing w:before="224" w:line="502" w:lineRule="exact"/>
        <w:ind w:right="61"/>
        <w:jc w:val="right"/>
      </w:pPr>
      <w:r>
        <w:rPr>
          <w:spacing w:val="8"/>
          <w:position w:val="19"/>
        </w:rPr>
        <w:t>(六)依照《公司法》第一百五十二条的规定，对执行董事、高级管理</w:t>
      </w:r>
      <w:r>
        <w:rPr>
          <w:spacing w:val="7"/>
          <w:position w:val="19"/>
        </w:rPr>
        <w:t>人员提</w:t>
      </w:r>
    </w:p>
    <w:p>
      <w:pPr>
        <w:pStyle w:val="2"/>
        <w:spacing w:line="220" w:lineRule="auto"/>
      </w:pPr>
      <w:r>
        <w:rPr>
          <w:spacing w:val="-9"/>
        </w:rPr>
        <w:t>起诉讼。</w:t>
      </w:r>
    </w:p>
    <w:p>
      <w:pPr>
        <w:spacing w:line="376" w:lineRule="auto"/>
        <w:rPr>
          <w:rFonts w:ascii="Arial"/>
          <w:sz w:val="21"/>
        </w:rPr>
      </w:pPr>
    </w:p>
    <w:p>
      <w:pPr>
        <w:pStyle w:val="2"/>
        <w:spacing w:before="81" w:line="219" w:lineRule="auto"/>
        <w:ind w:left="3290"/>
      </w:pPr>
      <w:r>
        <w:rPr>
          <w:spacing w:val="-1"/>
        </w:rPr>
        <w:t>第六章公司的法定代表人</w:t>
      </w:r>
    </w:p>
    <w:p>
      <w:pPr>
        <w:spacing w:line="411" w:lineRule="auto"/>
        <w:rPr>
          <w:rFonts w:ascii="Arial"/>
          <w:sz w:val="21"/>
        </w:rPr>
      </w:pPr>
    </w:p>
    <w:p>
      <w:pPr>
        <w:pStyle w:val="2"/>
        <w:spacing w:before="82" w:line="219" w:lineRule="auto"/>
        <w:ind w:left="530"/>
      </w:pPr>
      <w:r>
        <w:rPr>
          <w:spacing w:val="1"/>
        </w:rPr>
        <w:t xml:space="preserve">第十九条  </w:t>
      </w:r>
      <w:r>
        <w:rPr>
          <w:spacing w:val="-116"/>
          <w:u w:val="single" w:color="auto"/>
        </w:rPr>
        <w:t xml:space="preserve"> </w:t>
      </w:r>
      <w:r>
        <w:rPr>
          <w:spacing w:val="1"/>
          <w:u w:val="single" w:color="auto"/>
        </w:rPr>
        <w:t>执行董事</w:t>
      </w:r>
      <w:r>
        <w:rPr>
          <w:spacing w:val="1"/>
        </w:rPr>
        <w:t xml:space="preserve"> 为公司的法定代表</w:t>
      </w:r>
      <w:r>
        <w:t>人。</w:t>
      </w:r>
    </w:p>
    <w:p>
      <w:pPr>
        <w:spacing w:line="295" w:lineRule="auto"/>
        <w:rPr>
          <w:rFonts w:ascii="Arial"/>
          <w:sz w:val="21"/>
        </w:rPr>
      </w:pPr>
    </w:p>
    <w:p>
      <w:pPr>
        <w:spacing w:line="295" w:lineRule="auto"/>
        <w:rPr>
          <w:rFonts w:ascii="Arial"/>
          <w:sz w:val="21"/>
        </w:rPr>
      </w:pPr>
    </w:p>
    <w:p>
      <w:pPr>
        <w:spacing w:line="295" w:lineRule="auto"/>
        <w:rPr>
          <w:rFonts w:ascii="Arial"/>
          <w:sz w:val="21"/>
        </w:rPr>
      </w:pPr>
    </w:p>
    <w:p>
      <w:pPr>
        <w:pStyle w:val="2"/>
        <w:spacing w:before="81" w:line="219" w:lineRule="auto"/>
        <w:ind w:left="2330"/>
      </w:pPr>
      <w:r>
        <w:rPr>
          <w:spacing w:val="-4"/>
        </w:rPr>
        <w:t>第七章股东会会议认为需要规定的其他事项</w:t>
      </w:r>
    </w:p>
    <w:p>
      <w:pPr>
        <w:spacing w:line="381" w:lineRule="auto"/>
        <w:rPr>
          <w:rFonts w:ascii="Arial"/>
          <w:sz w:val="21"/>
        </w:rPr>
      </w:pPr>
    </w:p>
    <w:p>
      <w:pPr>
        <w:pStyle w:val="2"/>
        <w:spacing w:before="82" w:line="219" w:lineRule="auto"/>
        <w:ind w:left="530"/>
      </w:pPr>
      <w:r>
        <w:rPr>
          <w:spacing w:val="8"/>
        </w:rPr>
        <w:t>第二十条</w:t>
      </w:r>
      <w:r>
        <w:rPr>
          <w:rFonts w:hint="eastAsia"/>
          <w:spacing w:val="8"/>
          <w:lang w:val="en-US" w:eastAsia="zh-CN"/>
        </w:rPr>
        <w:t xml:space="preserve"> </w:t>
      </w:r>
      <w:r>
        <w:rPr>
          <w:spacing w:val="8"/>
        </w:rPr>
        <w:t>股东之间可以相互转让其部分或全部出资。</w:t>
      </w:r>
    </w:p>
    <w:p>
      <w:pPr>
        <w:pStyle w:val="2"/>
        <w:spacing w:before="203" w:line="219" w:lineRule="auto"/>
        <w:ind w:left="530"/>
      </w:pPr>
      <w:r>
        <w:rPr>
          <w:spacing w:val="9"/>
        </w:rPr>
        <w:t>第二十一条</w:t>
      </w:r>
      <w:r>
        <w:rPr>
          <w:rFonts w:hint="eastAsia"/>
          <w:spacing w:val="9"/>
          <w:lang w:val="en-US" w:eastAsia="zh-CN"/>
        </w:rPr>
        <w:t xml:space="preserve"> </w:t>
      </w:r>
      <w:r>
        <w:rPr>
          <w:spacing w:val="9"/>
        </w:rPr>
        <w:t>股东向股东以外的人转让股权，应当经其他</w:t>
      </w:r>
      <w:r>
        <w:rPr>
          <w:rFonts w:hint="eastAsia"/>
          <w:spacing w:val="9"/>
          <w:lang w:eastAsia="zh-CN"/>
        </w:rPr>
        <w:t>股东过半</w:t>
      </w:r>
      <w:r>
        <w:rPr>
          <w:spacing w:val="9"/>
        </w:rPr>
        <w:t>数</w:t>
      </w:r>
      <w:r>
        <w:rPr>
          <w:rFonts w:hint="eastAsia"/>
          <w:spacing w:val="9"/>
          <w:lang w:eastAsia="zh-CN"/>
        </w:rPr>
        <w:t>同</w:t>
      </w:r>
      <w:r>
        <w:rPr>
          <w:spacing w:val="9"/>
        </w:rPr>
        <w:t>意。股</w:t>
      </w:r>
    </w:p>
    <w:p>
      <w:pPr>
        <w:pStyle w:val="2"/>
        <w:spacing w:before="213" w:line="223" w:lineRule="auto"/>
        <w:rPr>
          <w:spacing w:val="2"/>
        </w:rPr>
      </w:pPr>
      <w:r>
        <w:rPr>
          <w:spacing w:val="3"/>
        </w:rPr>
        <w:t>东应就其股权转让事项书面通知其他股东征求同意，</w:t>
      </w:r>
      <w:r>
        <w:rPr>
          <w:spacing w:val="2"/>
        </w:rPr>
        <w:t>其他股</w:t>
      </w:r>
      <w:r>
        <w:rPr>
          <w:rFonts w:hint="eastAsia"/>
          <w:spacing w:val="2"/>
          <w:lang w:eastAsia="zh-CN"/>
        </w:rPr>
        <w:t>东自接</w:t>
      </w:r>
      <w:r>
        <w:rPr>
          <w:spacing w:val="2"/>
        </w:rPr>
        <w:t>到</w:t>
      </w:r>
      <w:r>
        <w:rPr>
          <w:rFonts w:hint="eastAsia"/>
          <w:spacing w:val="2"/>
          <w:lang w:eastAsia="zh-CN"/>
        </w:rPr>
        <w:t>书面通知之日</w:t>
      </w:r>
      <w:r>
        <w:rPr>
          <w:spacing w:val="2"/>
        </w:rPr>
        <w:t>起</w:t>
      </w:r>
    </w:p>
    <w:p>
      <w:pPr>
        <w:pStyle w:val="2"/>
        <w:spacing w:before="213" w:line="223" w:lineRule="auto"/>
        <w:rPr>
          <w:spacing w:val="6"/>
        </w:rPr>
      </w:pPr>
      <w:r>
        <w:rPr>
          <w:spacing w:val="2"/>
        </w:rPr>
        <w:t>满三十日未答复的，视为同意转</w:t>
      </w:r>
      <w:r>
        <w:rPr>
          <w:spacing w:val="6"/>
        </w:rPr>
        <w:t>让。其他股东半数以上不同意转让的，不同意的股东</w:t>
      </w:r>
    </w:p>
    <w:p>
      <w:pPr>
        <w:pStyle w:val="2"/>
        <w:spacing w:before="213" w:line="223" w:lineRule="auto"/>
        <w:rPr>
          <w:spacing w:val="2"/>
        </w:rPr>
      </w:pPr>
      <w:r>
        <w:rPr>
          <w:spacing w:val="6"/>
        </w:rPr>
        <w:t>应当购买该</w:t>
      </w:r>
      <w:r>
        <w:rPr>
          <w:rFonts w:hint="eastAsia"/>
          <w:spacing w:val="6"/>
          <w:lang w:eastAsia="zh-CN"/>
        </w:rPr>
        <w:t>转</w:t>
      </w:r>
      <w:r>
        <w:rPr>
          <w:spacing w:val="6"/>
        </w:rPr>
        <w:t>让的股</w:t>
      </w:r>
      <w:r>
        <w:rPr>
          <w:rFonts w:hint="eastAsia"/>
          <w:spacing w:val="6"/>
          <w:lang w:eastAsia="zh-CN"/>
        </w:rPr>
        <w:t>权</w:t>
      </w:r>
      <w:r>
        <w:rPr>
          <w:spacing w:val="6"/>
        </w:rPr>
        <w:t>，不购</w:t>
      </w:r>
      <w:r>
        <w:rPr>
          <w:spacing w:val="-3"/>
        </w:rPr>
        <w:t>买的，视为同意转</w:t>
      </w:r>
      <w:r>
        <w:rPr>
          <w:spacing w:val="2"/>
        </w:rPr>
        <w:t>让。经股东同意转让的股权，在同等</w:t>
      </w:r>
    </w:p>
    <w:p>
      <w:pPr>
        <w:pStyle w:val="2"/>
        <w:spacing w:before="213" w:line="223" w:lineRule="auto"/>
        <w:rPr>
          <w:spacing w:val="5"/>
        </w:rPr>
      </w:pPr>
      <w:r>
        <w:rPr>
          <w:spacing w:val="2"/>
        </w:rPr>
        <w:t>条件下，其他股东有优先购买权。两个以上</w:t>
      </w:r>
      <w:r>
        <w:rPr>
          <w:spacing w:val="5"/>
        </w:rPr>
        <w:t>股东主张行使优先购买权的，协商确定各</w:t>
      </w:r>
    </w:p>
    <w:p>
      <w:pPr>
        <w:pStyle w:val="2"/>
        <w:spacing w:before="213" w:line="223" w:lineRule="auto"/>
      </w:pPr>
      <w:r>
        <w:rPr>
          <w:spacing w:val="5"/>
        </w:rPr>
        <w:t>自的购买比例；协商不成的</w:t>
      </w:r>
      <w:r>
        <w:rPr>
          <w:spacing w:val="4"/>
        </w:rPr>
        <w:t>，按照转让时</w:t>
      </w:r>
      <w:r>
        <w:rPr>
          <w:spacing w:val="-1"/>
        </w:rPr>
        <w:t>各自的出资比例行使优先购买权。</w:t>
      </w:r>
    </w:p>
    <w:p>
      <w:pPr>
        <w:pStyle w:val="2"/>
        <w:spacing w:before="213" w:line="219" w:lineRule="auto"/>
        <w:ind w:left="530"/>
      </w:pPr>
      <w:r>
        <w:rPr>
          <w:spacing w:val="2"/>
        </w:rPr>
        <w:t>第二十二条</w:t>
      </w:r>
      <w:r>
        <w:rPr>
          <w:rFonts w:hint="eastAsia"/>
          <w:spacing w:val="2"/>
          <w:lang w:val="en-US" w:eastAsia="zh-CN"/>
        </w:rPr>
        <w:t xml:space="preserve"> </w:t>
      </w:r>
      <w:r>
        <w:rPr>
          <w:spacing w:val="2"/>
        </w:rPr>
        <w:t xml:space="preserve">公司的营业期限  </w:t>
      </w:r>
      <w:r>
        <w:rPr>
          <w:spacing w:val="-109"/>
          <w:u w:val="single" w:color="auto"/>
        </w:rPr>
        <w:t xml:space="preserve"> </w:t>
      </w:r>
      <w:r>
        <w:rPr>
          <w:spacing w:val="2"/>
          <w:u w:val="single" w:color="auto"/>
        </w:rPr>
        <w:t>长期</w:t>
      </w:r>
      <w:r>
        <w:rPr>
          <w:spacing w:val="2"/>
        </w:rPr>
        <w:t xml:space="preserve"> 年， 自公司营业执照签发之日起计算。</w:t>
      </w:r>
    </w:p>
    <w:p>
      <w:pPr>
        <w:pStyle w:val="2"/>
        <w:spacing w:before="214" w:line="219" w:lineRule="auto"/>
        <w:ind w:left="530"/>
        <w:rPr>
          <w:spacing w:val="8"/>
        </w:rPr>
      </w:pPr>
      <w:r>
        <w:rPr>
          <w:spacing w:val="8"/>
        </w:rPr>
        <w:t>第二十三条</w:t>
      </w:r>
      <w:r>
        <w:rPr>
          <w:rFonts w:hint="eastAsia"/>
          <w:spacing w:val="8"/>
          <w:lang w:val="en-US" w:eastAsia="zh-CN"/>
        </w:rPr>
        <w:t xml:space="preserve"> </w:t>
      </w:r>
      <w:r>
        <w:rPr>
          <w:spacing w:val="8"/>
        </w:rPr>
        <w:t>有下列情形之一的，公司清算组应当自公司清算结束之日起30日</w:t>
      </w:r>
    </w:p>
    <w:p>
      <w:pPr>
        <w:pStyle w:val="2"/>
        <w:spacing w:before="49" w:line="509" w:lineRule="exact"/>
      </w:pPr>
      <w:r>
        <w:rPr>
          <w:spacing w:val="-3"/>
          <w:position w:val="19"/>
        </w:rPr>
        <w:t>内向原公司登记机关申请注销登记：</w:t>
      </w:r>
    </w:p>
    <w:p>
      <w:pPr>
        <w:pStyle w:val="2"/>
        <w:spacing w:before="1" w:line="217" w:lineRule="auto"/>
        <w:ind w:left="629"/>
      </w:pPr>
      <w:r>
        <w:rPr>
          <w:spacing w:val="8"/>
        </w:rPr>
        <w:t>(一)公司被依法宣告破产；</w:t>
      </w:r>
    </w:p>
    <w:p>
      <w:pPr>
        <w:pStyle w:val="2"/>
        <w:spacing w:before="235" w:line="490" w:lineRule="exact"/>
        <w:jc w:val="right"/>
      </w:pPr>
      <w:r>
        <w:rPr>
          <w:spacing w:val="7"/>
          <w:position w:val="18"/>
        </w:rPr>
        <w:t>(二)公司章程规定的营业期限届满或者公司</w:t>
      </w:r>
      <w:r>
        <w:rPr>
          <w:spacing w:val="6"/>
          <w:position w:val="18"/>
        </w:rPr>
        <w:t>章程规定的其他解散事由出现，</w:t>
      </w:r>
    </w:p>
    <w:p>
      <w:pPr>
        <w:pStyle w:val="2"/>
        <w:spacing w:line="218" w:lineRule="auto"/>
      </w:pPr>
      <w:r>
        <w:t>但公司通过修改公司章程而存续的除外；</w:t>
      </w:r>
    </w:p>
    <w:p>
      <w:pPr>
        <w:pStyle w:val="2"/>
        <w:spacing w:before="214" w:line="219" w:lineRule="auto"/>
        <w:ind w:left="629"/>
      </w:pPr>
      <w:r>
        <w:rPr>
          <w:spacing w:val="7"/>
        </w:rPr>
        <w:t>(三)股东会决议解散或者一人有限责任公司的股东决议解</w:t>
      </w:r>
      <w:r>
        <w:rPr>
          <w:spacing w:val="6"/>
        </w:rPr>
        <w:t>散；</w:t>
      </w:r>
    </w:p>
    <w:p>
      <w:pPr>
        <w:pStyle w:val="2"/>
        <w:spacing w:before="213" w:line="219" w:lineRule="auto"/>
        <w:ind w:left="629"/>
      </w:pPr>
      <w:r>
        <w:rPr>
          <w:spacing w:val="7"/>
        </w:rPr>
        <w:t>(四)依法被吊销营业执照、责令关闭或者被撤销；</w:t>
      </w:r>
    </w:p>
    <w:p>
      <w:pPr>
        <w:pStyle w:val="2"/>
        <w:spacing w:before="214" w:line="219" w:lineRule="auto"/>
        <w:ind w:left="629"/>
      </w:pPr>
      <w:r>
        <w:rPr>
          <w:spacing w:val="6"/>
        </w:rPr>
        <w:t>(五)人民法院依法予以解散；</w:t>
      </w:r>
    </w:p>
    <w:p>
      <w:pPr>
        <w:pStyle w:val="2"/>
        <w:spacing w:before="215" w:line="219" w:lineRule="auto"/>
        <w:ind w:left="629"/>
      </w:pPr>
      <w:r>
        <w:rPr>
          <w:spacing w:val="8"/>
        </w:rPr>
        <w:t>(六)法律、行政法规规定的其他解散情形。</w:t>
      </w:r>
    </w:p>
    <w:p>
      <w:pPr>
        <w:spacing w:line="426" w:lineRule="auto"/>
        <w:rPr>
          <w:rFonts w:ascii="Arial"/>
          <w:sz w:val="21"/>
        </w:rPr>
      </w:pPr>
    </w:p>
    <w:p>
      <w:pPr>
        <w:pStyle w:val="2"/>
        <w:spacing w:before="72" w:line="219" w:lineRule="auto"/>
        <w:ind w:left="3950"/>
        <w:rPr>
          <w:sz w:val="22"/>
          <w:szCs w:val="22"/>
        </w:rPr>
      </w:pPr>
      <w:r>
        <w:rPr>
          <w:spacing w:val="-12"/>
          <w:sz w:val="22"/>
          <w:szCs w:val="22"/>
        </w:rPr>
        <w:t>第</w:t>
      </w:r>
      <w:r>
        <w:rPr>
          <w:spacing w:val="-15"/>
          <w:sz w:val="22"/>
          <w:szCs w:val="22"/>
        </w:rPr>
        <w:t xml:space="preserve"> </w:t>
      </w:r>
      <w:r>
        <w:rPr>
          <w:spacing w:val="-12"/>
          <w:sz w:val="22"/>
          <w:szCs w:val="22"/>
        </w:rPr>
        <w:t>八</w:t>
      </w:r>
      <w:r>
        <w:rPr>
          <w:spacing w:val="-14"/>
          <w:sz w:val="22"/>
          <w:szCs w:val="22"/>
        </w:rPr>
        <w:t xml:space="preserve"> </w:t>
      </w:r>
      <w:r>
        <w:rPr>
          <w:spacing w:val="-12"/>
          <w:sz w:val="22"/>
          <w:szCs w:val="22"/>
        </w:rPr>
        <w:t>章 附</w:t>
      </w:r>
      <w:r>
        <w:rPr>
          <w:spacing w:val="-18"/>
          <w:sz w:val="22"/>
          <w:szCs w:val="22"/>
        </w:rPr>
        <w:t xml:space="preserve"> </w:t>
      </w:r>
      <w:r>
        <w:rPr>
          <w:spacing w:val="-12"/>
          <w:sz w:val="22"/>
          <w:szCs w:val="22"/>
        </w:rPr>
        <w:t>则</w:t>
      </w:r>
    </w:p>
    <w:p>
      <w:pPr>
        <w:spacing w:line="387" w:lineRule="auto"/>
        <w:rPr>
          <w:rFonts w:ascii="Arial"/>
          <w:sz w:val="21"/>
        </w:rPr>
      </w:pPr>
    </w:p>
    <w:p>
      <w:pPr>
        <w:pStyle w:val="2"/>
        <w:spacing w:before="81" w:line="681" w:lineRule="exact"/>
        <w:ind w:left="529"/>
      </w:pPr>
      <w:r>
        <w:rPr>
          <w:spacing w:val="7"/>
          <w:position w:val="33"/>
        </w:rPr>
        <w:t>第二十四条公司登记事项以公司登记机关核定的为准。</w:t>
      </w:r>
    </w:p>
    <w:p>
      <w:pPr>
        <w:pStyle w:val="2"/>
        <w:spacing w:line="219" w:lineRule="auto"/>
        <w:rPr>
          <w:spacing w:val="10"/>
        </w:rPr>
      </w:pPr>
      <w:r>
        <w:rPr>
          <w:spacing w:val="10"/>
        </w:rPr>
        <w:t>法定</w:t>
      </w:r>
      <w:r>
        <w:rPr>
          <w:rFonts w:hint="eastAsia"/>
          <w:spacing w:val="10"/>
          <w:lang w:eastAsia="zh-CN"/>
        </w:rPr>
        <w:t>代表人</w:t>
      </w:r>
      <w:r>
        <w:rPr>
          <w:spacing w:val="10"/>
        </w:rPr>
        <w:t>签字：</w:t>
      </w:r>
    </w:p>
    <w:p>
      <w:pPr>
        <w:pStyle w:val="2"/>
        <w:spacing w:line="219" w:lineRule="auto"/>
        <w:rPr>
          <w:spacing w:val="10"/>
        </w:rPr>
      </w:pPr>
    </w:p>
    <w:p>
      <w:pPr>
        <w:pStyle w:val="2"/>
        <w:spacing w:line="219" w:lineRule="auto"/>
        <w:rPr>
          <w:spacing w:val="10"/>
        </w:rPr>
      </w:pPr>
    </w:p>
    <w:p>
      <w:pPr>
        <w:pStyle w:val="2"/>
        <w:spacing w:line="219" w:lineRule="auto"/>
        <w:ind w:firstLine="260" w:firstLineChars="100"/>
        <w:rPr>
          <w:rFonts w:hint="eastAsia"/>
          <w:spacing w:val="10"/>
          <w:lang w:val="en-US" w:eastAsia="zh-CN"/>
        </w:rPr>
      </w:pPr>
      <w:r>
        <w:rPr>
          <w:rFonts w:hint="eastAsia"/>
          <w:spacing w:val="10"/>
          <w:lang w:val="en-US" w:eastAsia="zh-CN"/>
        </w:rPr>
        <w:t xml:space="preserve">   </w:t>
      </w:r>
    </w:p>
    <w:p>
      <w:pPr>
        <w:pStyle w:val="2"/>
        <w:spacing w:line="219" w:lineRule="auto"/>
        <w:ind w:firstLine="780" w:firstLineChars="300"/>
        <w:rPr>
          <w:rFonts w:hint="default" w:eastAsia="宋体"/>
          <w:spacing w:val="10"/>
          <w:lang w:val="en-US" w:eastAsia="zh-CN"/>
        </w:rPr>
      </w:pPr>
      <w:r>
        <w:rPr>
          <w:rFonts w:hint="eastAsia"/>
          <w:spacing w:val="10"/>
          <w:lang w:val="en-US" w:eastAsia="zh-CN"/>
        </w:rPr>
        <w:t xml:space="preserve"> 年     月     日</w:t>
      </w:r>
      <w:bookmarkStart w:id="0" w:name="_GoBack"/>
      <w:bookmarkEnd w:id="0"/>
    </w:p>
    <w:p>
      <w:pPr>
        <w:spacing w:line="108" w:lineRule="exact"/>
      </w:pPr>
    </w:p>
    <w:p>
      <w:pPr>
        <w:spacing w:line="108" w:lineRule="exact"/>
        <w:sectPr>
          <w:footerReference r:id="rId5" w:type="default"/>
          <w:pgSz w:w="11920" w:h="16860"/>
          <w:pgMar w:top="799" w:right="1514" w:bottom="424" w:left="1299" w:header="0" w:footer="220" w:gutter="0"/>
          <w:cols w:equalWidth="0" w:num="1">
            <w:col w:w="9106"/>
          </w:cols>
        </w:sectPr>
      </w:pPr>
    </w:p>
    <w:p>
      <w:pPr>
        <w:spacing w:line="14" w:lineRule="auto"/>
        <w:rPr>
          <w:rFonts w:ascii="Arial"/>
          <w:sz w:val="2"/>
        </w:rPr>
      </w:pPr>
      <w:r>
        <w:rPr>
          <w:rFonts w:ascii="Arial" w:hAnsi="Arial" w:eastAsia="Arial" w:cs="Arial"/>
          <w:sz w:val="2"/>
          <w:szCs w:val="2"/>
        </w:rPr>
        <w:br w:type="column"/>
      </w:r>
    </w:p>
    <w:p>
      <w:pPr>
        <w:spacing w:line="219" w:lineRule="auto"/>
        <w:rPr>
          <w:rFonts w:ascii="YouYuan" w:hAnsi="YouYuan" w:eastAsia="YouYuan" w:cs="YouYuan"/>
          <w:sz w:val="26"/>
          <w:szCs w:val="26"/>
        </w:rPr>
        <w:sectPr>
          <w:type w:val="continuous"/>
          <w:pgSz w:w="11920" w:h="16860"/>
          <w:pgMar w:top="799" w:right="1514" w:bottom="424" w:left="1299" w:header="0" w:footer="220" w:gutter="0"/>
          <w:cols w:equalWidth="0" w:num="2">
            <w:col w:w="1234" w:space="100"/>
            <w:col w:w="7772"/>
          </w:cols>
        </w:sectPr>
      </w:pPr>
    </w:p>
    <w:p>
      <w:pPr>
        <w:pStyle w:val="2"/>
        <w:spacing w:before="214" w:line="219" w:lineRule="auto"/>
        <w:ind w:left="530"/>
        <w:rPr>
          <w:spacing w:val="8"/>
        </w:rPr>
      </w:pPr>
    </w:p>
    <w:p>
      <w:pPr>
        <w:spacing w:line="413" w:lineRule="auto"/>
        <w:rPr>
          <w:rFonts w:ascii="Arial"/>
          <w:sz w:val="21"/>
        </w:rPr>
      </w:pPr>
    </w:p>
    <w:p>
      <w:pPr>
        <w:pStyle w:val="2"/>
        <w:spacing w:before="55" w:line="221" w:lineRule="auto"/>
        <w:ind w:left="3439"/>
        <w:rPr>
          <w:sz w:val="17"/>
          <w:szCs w:val="17"/>
        </w:rPr>
      </w:pPr>
    </w:p>
    <w:p>
      <w:pPr>
        <w:pStyle w:val="2"/>
        <w:spacing w:before="56" w:line="221" w:lineRule="auto"/>
        <w:rPr>
          <w:spacing w:val="5"/>
        </w:rPr>
      </w:pPr>
    </w:p>
    <w:sectPr>
      <w:pgSz w:w="11920" w:h="16860"/>
      <w:pgMar w:top="986" w:right="1393" w:bottom="0" w:left="125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YouYuan">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09" w:lineRule="auto"/>
      <w:ind w:left="3422"/>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Q1OTFlYTQ2YjRmOWMzNTVlMjAxODMzZTE2NTdmZDYifQ=="/>
  </w:docVars>
  <w:rsids>
    <w:rsidRoot w:val="00000000"/>
    <w:rsid w:val="35D22812"/>
    <w:rsid w:val="4C963F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607</Words>
  <Characters>633</Characters>
  <TotalTime>18</TotalTime>
  <ScaleCrop>false</ScaleCrop>
  <LinksUpToDate>false</LinksUpToDate>
  <CharactersWithSpaces>676</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2024-05-22T09:25:00Z</dcterms:created>
  <dc:creator>admin</dc:creator>
  <cp:lastModifiedBy>admin</cp:lastModifiedBy>
  <dcterms:modified xsi:type="dcterms:W3CDTF">2024-05-22T02:04:20Z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2024-05-22T09:25:21Z</vt:filetime>
  </property>
  <property fmtid="{D5CDD505-2E9C-101B-9397-08002B2CF9AE}" pid="4" name="UsrData">
    <vt:lpwstr>664d497ecc671d001feebc92wl</vt:lpwstr>
  </property>
  <property fmtid="{D5CDD505-2E9C-101B-9397-08002B2CF9AE}" pid="5" name="KSOProductBuildVer">
    <vt:lpwstr>2052-12.1.0.16929</vt:lpwstr>
  </property>
  <property fmtid="{D5CDD505-2E9C-101B-9397-08002B2CF9AE}" pid="6" name="ICV">
    <vt:lpwstr>1ABE33EBED1E49409726ADAB49DB07CC_12</vt:lpwstr>
  </property>
</Properties>
</file>