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B32F0">
      <w:pPr>
        <w:ind w:left="0"/>
        <w:jc w:val="center"/>
        <w:rPr>
          <w:rFonts w:ascii="宋体" w:hAnsi="宋体"/>
          <w:sz w:val="36"/>
          <w:szCs w:val="36"/>
        </w:rPr>
      </w:pPr>
      <w:bookmarkStart w:id="0" w:name="_Toc19026722"/>
      <w:bookmarkStart w:id="1" w:name="_Toc19027076"/>
      <w:r>
        <w:rPr>
          <w:rFonts w:hint="eastAsia" w:ascii="宋体" w:hAnsi="宋体"/>
          <w:sz w:val="36"/>
          <w:szCs w:val="36"/>
        </w:rPr>
        <w:t>沧州华润热电有限公司</w:t>
      </w:r>
    </w:p>
    <w:p w14:paraId="0A4552B9">
      <w:pPr>
        <w:ind w:left="0"/>
        <w:jc w:val="center"/>
        <w:rPr>
          <w:rFonts w:ascii="宋体" w:hAnsi="宋体"/>
          <w:sz w:val="36"/>
          <w:szCs w:val="36"/>
        </w:rPr>
      </w:pPr>
      <w:r>
        <w:rPr>
          <w:rFonts w:hint="eastAsia" w:ascii="宋体" w:hAnsi="宋体"/>
          <w:sz w:val="36"/>
          <w:szCs w:val="36"/>
        </w:rPr>
        <w:t>工程项目EHS管理协议书</w:t>
      </w:r>
      <w:bookmarkEnd w:id="0"/>
      <w:bookmarkEnd w:id="1"/>
    </w:p>
    <w:p w14:paraId="26399E09">
      <w:pPr>
        <w:adjustRightInd w:val="0"/>
        <w:snapToGrid w:val="0"/>
        <w:spacing w:line="360" w:lineRule="auto"/>
        <w:ind w:left="0"/>
        <w:rPr>
          <w:rFonts w:ascii="宋体" w:hAnsi="宋体"/>
          <w:b/>
          <w:color w:val="000000"/>
          <w:szCs w:val="21"/>
        </w:rPr>
      </w:pPr>
      <w:r>
        <w:rPr>
          <w:rFonts w:hint="eastAsia" w:ascii="宋体" w:hAnsi="宋体"/>
          <w:b/>
          <w:color w:val="000000"/>
          <w:szCs w:val="21"/>
        </w:rPr>
        <w:t>发包单位：</w:t>
      </w:r>
      <w:r>
        <w:rPr>
          <w:rFonts w:hint="eastAsia" w:ascii="宋体" w:hAnsi="宋体"/>
          <w:b/>
          <w:color w:val="000000"/>
          <w:szCs w:val="21"/>
          <w:u w:val="single"/>
        </w:rPr>
        <w:t>沧州华润热电有限公司</w:t>
      </w:r>
      <w:r>
        <w:rPr>
          <w:rFonts w:ascii="宋体" w:hAnsi="宋体"/>
          <w:b/>
          <w:color w:val="000000"/>
          <w:szCs w:val="21"/>
          <w:u w:val="single"/>
        </w:rPr>
        <w:t xml:space="preserve">          </w:t>
      </w:r>
      <w:r>
        <w:rPr>
          <w:rFonts w:hint="eastAsia" w:ascii="宋体" w:hAnsi="宋体"/>
          <w:b/>
          <w:color w:val="000000"/>
          <w:szCs w:val="21"/>
        </w:rPr>
        <w:t>（甲方）</w:t>
      </w:r>
    </w:p>
    <w:p w14:paraId="277D90D0">
      <w:pPr>
        <w:adjustRightInd w:val="0"/>
        <w:snapToGrid w:val="0"/>
        <w:spacing w:line="360" w:lineRule="auto"/>
        <w:ind w:left="0"/>
        <w:rPr>
          <w:rFonts w:ascii="宋体" w:hAnsi="宋体"/>
          <w:b/>
          <w:color w:val="000000"/>
          <w:szCs w:val="21"/>
        </w:rPr>
      </w:pPr>
      <w:r>
        <w:rPr>
          <w:rFonts w:hint="eastAsia" w:ascii="宋体" w:hAnsi="宋体"/>
          <w:b/>
          <w:color w:val="000000"/>
          <w:szCs w:val="21"/>
        </w:rPr>
        <w:t>承包单位：</w:t>
      </w:r>
      <w:r>
        <w:rPr>
          <w:rFonts w:hint="eastAsia" w:ascii="宋体" w:hAnsi="宋体"/>
          <w:b/>
          <w:bCs w:val="0"/>
          <w:sz w:val="24"/>
          <w:szCs w:val="24"/>
          <w:u w:val="single"/>
        </w:rPr>
        <w:t>北京三汇能环科技发展有限公司</w:t>
      </w:r>
      <w:r>
        <w:rPr>
          <w:rFonts w:ascii="宋体" w:hAnsi="宋体"/>
          <w:b/>
          <w:color w:val="000000"/>
          <w:szCs w:val="21"/>
          <w:u w:val="single"/>
        </w:rPr>
        <w:t xml:space="preserve">     </w:t>
      </w:r>
      <w:r>
        <w:rPr>
          <w:rFonts w:hint="eastAsia" w:ascii="宋体" w:hAnsi="宋体"/>
          <w:b/>
          <w:color w:val="000000"/>
          <w:szCs w:val="21"/>
        </w:rPr>
        <w:t>（乙方）</w:t>
      </w:r>
    </w:p>
    <w:p w14:paraId="358D8DB4">
      <w:pPr>
        <w:adjustRightInd w:val="0"/>
        <w:snapToGrid w:val="0"/>
        <w:spacing w:line="276" w:lineRule="auto"/>
        <w:ind w:left="0" w:firstLine="480" w:firstLineChars="200"/>
        <w:rPr>
          <w:rFonts w:ascii="宋体" w:hAnsi="宋体"/>
          <w:color w:val="000000"/>
          <w:szCs w:val="21"/>
        </w:rPr>
      </w:pPr>
      <w:r>
        <w:rPr>
          <w:rFonts w:hint="eastAsia" w:ascii="宋体" w:hAnsi="宋体"/>
          <w:color w:val="000000"/>
          <w:szCs w:val="21"/>
        </w:rPr>
        <w:t>为贯彻“安全第一、预防为主、综合治理”的方针，根据国家和地方有关规定，明确双方的安全、健康和环保责任，确保工程项目全过程依法合规，甲方以工程项目合同和技术协议签订为基础依法签订本协议书作为合同附件，具有与合同同等法律效力。</w:t>
      </w:r>
    </w:p>
    <w:p w14:paraId="780A639B">
      <w:pPr>
        <w:adjustRightInd w:val="0"/>
        <w:snapToGrid w:val="0"/>
        <w:spacing w:line="360" w:lineRule="auto"/>
        <w:ind w:left="0" w:firstLine="424" w:firstLineChars="176"/>
        <w:rPr>
          <w:rFonts w:ascii="宋体" w:hAnsi="宋体"/>
          <w:b/>
          <w:color w:val="000000"/>
          <w:szCs w:val="21"/>
        </w:rPr>
      </w:pPr>
      <w:r>
        <w:rPr>
          <w:rFonts w:hint="eastAsia" w:ascii="宋体" w:hAnsi="宋体"/>
          <w:b/>
          <w:color w:val="000000"/>
          <w:szCs w:val="21"/>
        </w:rPr>
        <w:t>1 工程项目内容</w:t>
      </w:r>
    </w:p>
    <w:p w14:paraId="2744FC3D">
      <w:pPr>
        <w:pStyle w:val="7"/>
        <w:numPr>
          <w:ilvl w:val="1"/>
          <w:numId w:val="1"/>
        </w:numPr>
        <w:adjustRightInd w:val="0"/>
        <w:snapToGrid w:val="0"/>
        <w:spacing w:line="360" w:lineRule="auto"/>
        <w:rPr>
          <w:rFonts w:ascii="宋体" w:hAnsi="宋体"/>
          <w:b/>
          <w:color w:val="000000"/>
          <w:szCs w:val="21"/>
          <w:u w:val="single"/>
        </w:rPr>
      </w:pPr>
      <w:r>
        <w:rPr>
          <w:rFonts w:hint="eastAsia" w:ascii="宋体" w:hAnsi="宋体"/>
          <w:b/>
          <w:color w:val="000000"/>
          <w:szCs w:val="21"/>
        </w:rPr>
        <w:t>工程项目名称：</w:t>
      </w:r>
      <w:r>
        <w:rPr>
          <w:rFonts w:hint="eastAsia" w:ascii="宋体" w:hAnsi="宋体"/>
          <w:b/>
          <w:color w:val="000000"/>
          <w:szCs w:val="21"/>
          <w:u w:val="single"/>
        </w:rPr>
        <w:t xml:space="preserve">  </w:t>
      </w:r>
      <w:r>
        <w:rPr>
          <w:rFonts w:hint="eastAsia" w:ascii="宋体" w:hAnsi="宋体"/>
          <w:b w:val="0"/>
          <w:bCs/>
          <w:sz w:val="21"/>
          <w:szCs w:val="21"/>
          <w:u w:val="single"/>
        </w:rPr>
        <w:t>热泵远程控制系统改造</w:t>
      </w:r>
      <w:r>
        <w:rPr>
          <w:rFonts w:hint="eastAsia" w:ascii="宋体" w:hAnsi="宋体"/>
          <w:b w:val="0"/>
          <w:bCs/>
          <w:sz w:val="21"/>
          <w:szCs w:val="21"/>
          <w:u w:val="single"/>
          <w:lang w:val="en-US" w:eastAsia="zh-CN"/>
        </w:rPr>
        <w:t>项目</w:t>
      </w:r>
      <w:bookmarkStart w:id="2" w:name="_GoBack"/>
      <w:bookmarkEnd w:id="2"/>
      <w:r>
        <w:rPr>
          <w:rFonts w:hint="eastAsia" w:ascii="宋体" w:hAnsi="宋体"/>
          <w:b w:val="0"/>
          <w:bCs/>
          <w:sz w:val="21"/>
          <w:szCs w:val="21"/>
          <w:u w:val="single"/>
        </w:rPr>
        <w:t>采购安装合同</w:t>
      </w:r>
      <w:r>
        <w:rPr>
          <w:rFonts w:hint="eastAsia" w:ascii="宋体" w:hAnsi="宋体"/>
          <w:b/>
          <w:color w:val="000000"/>
          <w:szCs w:val="21"/>
          <w:u w:val="single"/>
        </w:rPr>
        <w:t xml:space="preserve">                             </w:t>
      </w:r>
      <w:r>
        <w:rPr>
          <w:rFonts w:ascii="宋体" w:hAnsi="宋体"/>
          <w:b/>
          <w:color w:val="000000"/>
          <w:szCs w:val="21"/>
          <w:u w:val="single"/>
        </w:rPr>
        <w:t xml:space="preserve">   </w:t>
      </w:r>
    </w:p>
    <w:p w14:paraId="084A497F">
      <w:pPr>
        <w:adjustRightInd w:val="0"/>
        <w:snapToGrid w:val="0"/>
        <w:spacing w:line="360" w:lineRule="auto"/>
        <w:ind w:left="0" w:firstLine="424" w:firstLineChars="176"/>
        <w:rPr>
          <w:rFonts w:ascii="宋体" w:hAnsi="宋体"/>
          <w:b/>
          <w:color w:val="000000"/>
          <w:szCs w:val="21"/>
          <w:u w:val="single"/>
        </w:rPr>
      </w:pPr>
      <w:r>
        <w:rPr>
          <w:rFonts w:hint="eastAsia" w:ascii="宋体" w:hAnsi="宋体"/>
          <w:b/>
          <w:color w:val="000000"/>
          <w:szCs w:val="21"/>
        </w:rPr>
        <w:t>1.2 工 程 地 点：</w:t>
      </w:r>
      <w:r>
        <w:rPr>
          <w:rFonts w:hint="eastAsia" w:ascii="宋体" w:hAnsi="宋体"/>
          <w:b/>
          <w:color w:val="000000"/>
          <w:szCs w:val="21"/>
          <w:u w:val="single"/>
        </w:rPr>
        <w:t xml:space="preserve">    </w:t>
      </w:r>
      <w:r>
        <w:rPr>
          <w:rFonts w:ascii="宋体" w:hAnsi="宋体"/>
          <w:b/>
          <w:color w:val="000000"/>
          <w:szCs w:val="21"/>
          <w:u w:val="single"/>
        </w:rPr>
        <w:t xml:space="preserve">   </w:t>
      </w:r>
      <w:r>
        <w:rPr>
          <w:rFonts w:hint="eastAsia" w:ascii="宋体" w:hAnsi="宋体"/>
          <w:b/>
          <w:color w:val="000000"/>
          <w:szCs w:val="21"/>
          <w:u w:val="single"/>
        </w:rPr>
        <w:t xml:space="preserve">热泵房   </w:t>
      </w:r>
      <w:r>
        <w:rPr>
          <w:rFonts w:ascii="宋体" w:hAnsi="宋体"/>
          <w:b/>
          <w:color w:val="000000"/>
          <w:szCs w:val="21"/>
          <w:u w:val="single"/>
        </w:rPr>
        <w:t xml:space="preserve">                   </w:t>
      </w:r>
      <w:r>
        <w:rPr>
          <w:rFonts w:hint="eastAsia" w:ascii="宋体" w:hAnsi="宋体"/>
          <w:b/>
          <w:color w:val="000000"/>
          <w:szCs w:val="21"/>
          <w:u w:val="single"/>
        </w:rPr>
        <w:t xml:space="preserve">              </w:t>
      </w:r>
    </w:p>
    <w:p w14:paraId="4B122158">
      <w:pPr>
        <w:adjustRightInd w:val="0"/>
        <w:snapToGrid w:val="0"/>
        <w:spacing w:line="360" w:lineRule="auto"/>
        <w:ind w:left="0" w:firstLine="424" w:firstLineChars="176"/>
        <w:rPr>
          <w:rFonts w:ascii="宋体" w:hAnsi="宋体"/>
          <w:b/>
          <w:color w:val="000000"/>
          <w:szCs w:val="21"/>
        </w:rPr>
      </w:pPr>
      <w:r>
        <w:rPr>
          <w:rFonts w:hint="eastAsia" w:ascii="宋体" w:hAnsi="宋体"/>
          <w:b/>
          <w:color w:val="000000"/>
          <w:szCs w:val="21"/>
        </w:rPr>
        <w:t>2 工程项目期限</w:t>
      </w:r>
    </w:p>
    <w:p w14:paraId="57D7C0E9">
      <w:pPr>
        <w:adjustRightInd w:val="0"/>
        <w:snapToGrid w:val="0"/>
        <w:spacing w:line="360" w:lineRule="auto"/>
        <w:ind w:left="0" w:firstLine="665" w:firstLineChars="276"/>
        <w:rPr>
          <w:rFonts w:ascii="宋体" w:hAnsi="宋体"/>
          <w:b/>
          <w:color w:val="000000"/>
          <w:szCs w:val="21"/>
        </w:rPr>
      </w:pPr>
      <w:r>
        <w:rPr>
          <w:rFonts w:hint="eastAsia" w:ascii="宋体" w:hAnsi="宋体"/>
          <w:b/>
          <w:color w:val="000000"/>
          <w:szCs w:val="21"/>
        </w:rPr>
        <w:t>本工程自</w:t>
      </w:r>
      <w:r>
        <w:rPr>
          <w:rFonts w:hint="eastAsia" w:ascii="宋体" w:hAnsi="宋体"/>
          <w:b/>
          <w:color w:val="000000"/>
          <w:szCs w:val="21"/>
          <w:u w:val="single"/>
        </w:rPr>
        <w:t xml:space="preserve"> </w:t>
      </w:r>
      <w:r>
        <w:rPr>
          <w:rFonts w:hint="eastAsia" w:ascii="宋体" w:hAnsi="宋体"/>
          <w:b/>
          <w:color w:val="000000"/>
          <w:szCs w:val="21"/>
          <w:u w:val="single"/>
          <w:lang w:val="en-US" w:eastAsia="zh-CN"/>
        </w:rPr>
        <w:t>2024</w:t>
      </w:r>
      <w:r>
        <w:rPr>
          <w:rFonts w:hint="eastAsia" w:ascii="宋体" w:hAnsi="宋体"/>
          <w:b/>
          <w:color w:val="000000"/>
          <w:szCs w:val="21"/>
          <w:u w:val="single"/>
        </w:rPr>
        <w:t xml:space="preserve">年 </w:t>
      </w:r>
      <w:r>
        <w:rPr>
          <w:rFonts w:hint="eastAsia" w:ascii="宋体" w:hAnsi="宋体"/>
          <w:b/>
          <w:color w:val="000000"/>
          <w:szCs w:val="21"/>
          <w:u w:val="single"/>
          <w:lang w:val="en-US" w:eastAsia="zh-CN"/>
        </w:rPr>
        <w:t>11</w:t>
      </w:r>
      <w:r>
        <w:rPr>
          <w:rFonts w:hint="eastAsia" w:ascii="宋体" w:hAnsi="宋体"/>
          <w:b/>
          <w:color w:val="000000"/>
          <w:szCs w:val="21"/>
          <w:u w:val="single"/>
        </w:rPr>
        <w:t xml:space="preserve"> 月 </w:t>
      </w:r>
      <w:r>
        <w:rPr>
          <w:rFonts w:ascii="宋体" w:hAnsi="宋体"/>
          <w:b/>
          <w:color w:val="000000"/>
          <w:szCs w:val="21"/>
          <w:u w:val="single"/>
        </w:rPr>
        <w:t xml:space="preserve">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日</w:t>
      </w:r>
      <w:r>
        <w:rPr>
          <w:rFonts w:hint="eastAsia" w:ascii="宋体" w:hAnsi="宋体"/>
          <w:b/>
          <w:color w:val="000000"/>
          <w:szCs w:val="21"/>
        </w:rPr>
        <w:t>起开工至</w:t>
      </w:r>
      <w:r>
        <w:rPr>
          <w:rFonts w:hint="eastAsia" w:ascii="宋体" w:hAnsi="宋体"/>
          <w:b/>
          <w:color w:val="000000"/>
          <w:szCs w:val="21"/>
          <w:u w:val="single"/>
        </w:rPr>
        <w:t xml:space="preserve"> </w:t>
      </w:r>
      <w:r>
        <w:rPr>
          <w:rFonts w:ascii="宋体" w:hAnsi="宋体"/>
          <w:b/>
          <w:color w:val="000000"/>
          <w:szCs w:val="21"/>
          <w:u w:val="single"/>
        </w:rPr>
        <w:t xml:space="preserve"> </w:t>
      </w:r>
      <w:r>
        <w:rPr>
          <w:rFonts w:hint="eastAsia" w:ascii="宋体" w:hAnsi="宋体"/>
          <w:b/>
          <w:color w:val="000000"/>
          <w:szCs w:val="21"/>
          <w:u w:val="single"/>
          <w:lang w:val="en-US" w:eastAsia="zh-CN"/>
        </w:rPr>
        <w:t>2024</w:t>
      </w:r>
      <w:r>
        <w:rPr>
          <w:rFonts w:hint="eastAsia" w:ascii="宋体" w:hAnsi="宋体"/>
          <w:b/>
          <w:color w:val="000000"/>
          <w:szCs w:val="21"/>
          <w:u w:val="single"/>
        </w:rPr>
        <w:t xml:space="preserve">年 </w:t>
      </w:r>
      <w:r>
        <w:rPr>
          <w:rFonts w:ascii="宋体" w:hAnsi="宋体"/>
          <w:b/>
          <w:color w:val="000000"/>
          <w:szCs w:val="21"/>
          <w:u w:val="single"/>
        </w:rPr>
        <w:t xml:space="preserve"> </w:t>
      </w:r>
      <w:r>
        <w:rPr>
          <w:rFonts w:hint="eastAsia" w:ascii="宋体" w:hAnsi="宋体"/>
          <w:b/>
          <w:color w:val="000000"/>
          <w:szCs w:val="21"/>
          <w:u w:val="single"/>
          <w:lang w:val="en-US" w:eastAsia="zh-CN"/>
        </w:rPr>
        <w:t>11</w:t>
      </w:r>
      <w:r>
        <w:rPr>
          <w:rFonts w:hint="eastAsia" w:ascii="宋体" w:hAnsi="宋体"/>
          <w:b/>
          <w:color w:val="000000"/>
          <w:szCs w:val="21"/>
          <w:u w:val="single"/>
        </w:rPr>
        <w:t xml:space="preserve"> 月 </w:t>
      </w:r>
      <w:r>
        <w:rPr>
          <w:rFonts w:hint="eastAsia" w:ascii="宋体" w:hAnsi="宋体"/>
          <w:b/>
          <w:color w:val="000000"/>
          <w:szCs w:val="21"/>
          <w:u w:val="single"/>
          <w:lang w:val="en-US" w:eastAsia="zh-CN"/>
        </w:rPr>
        <w:t xml:space="preserve"> </w:t>
      </w:r>
      <w:r>
        <w:rPr>
          <w:rFonts w:hint="eastAsia" w:ascii="宋体" w:hAnsi="宋体"/>
          <w:b/>
          <w:color w:val="000000"/>
          <w:szCs w:val="21"/>
          <w:u w:val="single"/>
        </w:rPr>
        <w:t xml:space="preserve"> 日</w:t>
      </w:r>
      <w:r>
        <w:rPr>
          <w:rFonts w:hint="eastAsia" w:ascii="宋体" w:hAnsi="宋体"/>
          <w:b/>
          <w:color w:val="000000"/>
          <w:szCs w:val="21"/>
        </w:rPr>
        <w:t>完工。（依据合同或技术协议填写）</w:t>
      </w:r>
    </w:p>
    <w:p w14:paraId="2FCC198A">
      <w:pPr>
        <w:adjustRightInd w:val="0"/>
        <w:snapToGrid w:val="0"/>
        <w:spacing w:line="360" w:lineRule="auto"/>
        <w:ind w:left="0" w:firstLine="424" w:firstLineChars="176"/>
        <w:rPr>
          <w:rFonts w:ascii="宋体" w:hAnsi="宋体"/>
          <w:b/>
          <w:color w:val="000000"/>
          <w:szCs w:val="21"/>
        </w:rPr>
      </w:pPr>
      <w:r>
        <w:rPr>
          <w:rFonts w:hint="eastAsia" w:ascii="宋体" w:hAnsi="宋体"/>
          <w:b/>
          <w:color w:val="000000"/>
          <w:szCs w:val="21"/>
        </w:rPr>
        <w:t>3 协议内容</w:t>
      </w:r>
    </w:p>
    <w:p w14:paraId="3A9AFA95">
      <w:pPr>
        <w:adjustRightInd w:val="0"/>
        <w:snapToGrid w:val="0"/>
        <w:spacing w:line="276" w:lineRule="auto"/>
        <w:ind w:left="0" w:firstLine="424" w:firstLineChars="176"/>
        <w:rPr>
          <w:rFonts w:ascii="宋体" w:hAnsi="宋体"/>
          <w:b/>
          <w:color w:val="000000"/>
          <w:szCs w:val="21"/>
        </w:rPr>
      </w:pPr>
      <w:r>
        <w:rPr>
          <w:rFonts w:hint="eastAsia" w:ascii="宋体" w:hAnsi="宋体"/>
          <w:b/>
          <w:color w:val="000000"/>
          <w:szCs w:val="21"/>
        </w:rPr>
        <w:t>3.1总体要求</w:t>
      </w:r>
    </w:p>
    <w:p w14:paraId="0D7C8F18">
      <w:pPr>
        <w:numPr>
          <w:ilvl w:val="0"/>
          <w:numId w:val="2"/>
        </w:numPr>
        <w:adjustRightInd w:val="0"/>
        <w:snapToGrid w:val="0"/>
        <w:spacing w:before="156" w:beforeLines="50" w:line="360" w:lineRule="auto"/>
        <w:ind w:left="0" w:firstLine="425"/>
        <w:rPr>
          <w:rFonts w:ascii="宋体" w:hAnsi="宋体"/>
          <w:color w:val="000000"/>
          <w:szCs w:val="21"/>
        </w:rPr>
      </w:pPr>
      <w:r>
        <w:rPr>
          <w:rFonts w:hint="eastAsia" w:ascii="宋体" w:hAnsi="宋体"/>
          <w:b/>
          <w:color w:val="000000"/>
          <w:szCs w:val="21"/>
        </w:rPr>
        <w:t>不可抗力条款</w:t>
      </w:r>
      <w:r>
        <w:rPr>
          <w:rFonts w:ascii="宋体" w:hAnsi="宋体"/>
          <w:color w:val="000000"/>
          <w:szCs w:val="21"/>
        </w:rPr>
        <w:t>：国家及各省市地区</w:t>
      </w:r>
      <w:r>
        <w:rPr>
          <w:rFonts w:hint="eastAsia" w:ascii="宋体" w:hAnsi="宋体"/>
          <w:color w:val="000000"/>
          <w:szCs w:val="21"/>
        </w:rPr>
        <w:t>突发不可抗力事件（包括但不局限法律规定的突发重大公共卫生事件、重大地质灾害、重大气候灾害、战争及特殊管制时段等），</w:t>
      </w:r>
      <w:r>
        <w:rPr>
          <w:rFonts w:ascii="宋体" w:hAnsi="宋体"/>
          <w:color w:val="000000"/>
          <w:szCs w:val="21"/>
        </w:rPr>
        <w:t>甲方有权</w:t>
      </w:r>
      <w:r>
        <w:rPr>
          <w:rFonts w:hint="eastAsia" w:ascii="宋体" w:hAnsi="宋体"/>
          <w:color w:val="000000"/>
          <w:szCs w:val="21"/>
        </w:rPr>
        <w:t>在本协议基础上依法、依规制定特殊管控措施或从严管控，并不因此增加合同商务费用和调整工期。</w:t>
      </w:r>
      <w:r>
        <w:rPr>
          <w:rFonts w:hint="eastAsia" w:ascii="宋体" w:hAnsi="宋体"/>
          <w:b/>
          <w:color w:val="000000"/>
          <w:szCs w:val="21"/>
        </w:rPr>
        <w:t>甲方在工程项目招标前以本协议方式提前告知，乙方在投标阶段如未提出异议即视为同意本协议条款内容。</w:t>
      </w:r>
    </w:p>
    <w:p w14:paraId="5E1ECDE4">
      <w:pPr>
        <w:numPr>
          <w:ilvl w:val="0"/>
          <w:numId w:val="2"/>
        </w:numPr>
        <w:adjustRightInd w:val="0"/>
        <w:snapToGrid w:val="0"/>
        <w:spacing w:before="156" w:beforeLines="50" w:line="360" w:lineRule="auto"/>
        <w:ind w:left="0" w:firstLine="425"/>
        <w:rPr>
          <w:rFonts w:ascii="宋体" w:hAnsi="宋体"/>
          <w:color w:val="000000"/>
          <w:szCs w:val="21"/>
        </w:rPr>
      </w:pPr>
      <w:r>
        <w:rPr>
          <w:rFonts w:hint="eastAsia" w:ascii="宋体" w:hAnsi="宋体"/>
          <w:color w:val="000000"/>
          <w:szCs w:val="21"/>
        </w:rPr>
        <w:t>甲乙双方按照华润电力EHS要素管理体系贯彻落实甲方“高标准、守规矩”的EHS管理理念，遵守国家、行业、主管部门颁发安健环法律、条例、规定，以合同和协议为基础，追求卓越。</w:t>
      </w:r>
    </w:p>
    <w:p w14:paraId="7F19F22D">
      <w:pPr>
        <w:numPr>
          <w:ilvl w:val="0"/>
          <w:numId w:val="2"/>
        </w:numPr>
        <w:adjustRightInd w:val="0"/>
        <w:snapToGrid w:val="0"/>
        <w:spacing w:before="156" w:beforeLines="50" w:line="360" w:lineRule="auto"/>
        <w:ind w:left="0" w:firstLine="425"/>
        <w:rPr>
          <w:rFonts w:ascii="宋体" w:hAnsi="宋体"/>
          <w:color w:val="000000"/>
          <w:szCs w:val="21"/>
        </w:rPr>
      </w:pPr>
      <w:r>
        <w:rPr>
          <w:rFonts w:hint="eastAsia" w:ascii="宋体" w:hAnsi="宋体"/>
          <w:color w:val="000000"/>
          <w:szCs w:val="21"/>
        </w:rPr>
        <w:t>乙方应在投标阶段在商务报价中单独列支用于本项目的安全、环保和职业健康管理费用清单，且清单总额不能低于合同报价的2</w:t>
      </w:r>
      <w:r>
        <w:rPr>
          <w:rFonts w:ascii="宋体" w:hAnsi="宋体"/>
          <w:color w:val="000000"/>
          <w:szCs w:val="21"/>
        </w:rPr>
        <w:t>%</w:t>
      </w:r>
      <w:r>
        <w:rPr>
          <w:rFonts w:hint="eastAsia" w:ascii="宋体" w:hAnsi="宋体"/>
          <w:color w:val="000000"/>
          <w:szCs w:val="21"/>
        </w:rPr>
        <w:t>。甲方有权按照清单或2</w:t>
      </w:r>
      <w:r>
        <w:rPr>
          <w:rFonts w:ascii="宋体" w:hAnsi="宋体"/>
          <w:color w:val="000000"/>
          <w:szCs w:val="21"/>
        </w:rPr>
        <w:t>%</w:t>
      </w:r>
      <w:r>
        <w:rPr>
          <w:rFonts w:hint="eastAsia" w:ascii="宋体" w:hAnsi="宋体"/>
          <w:color w:val="000000"/>
          <w:szCs w:val="21"/>
        </w:rPr>
        <w:t>强制规定对乙方在合同履行中未投入的费用予以扣缴。</w:t>
      </w:r>
    </w:p>
    <w:p w14:paraId="4C77E948">
      <w:pPr>
        <w:numPr>
          <w:ilvl w:val="0"/>
          <w:numId w:val="2"/>
        </w:numPr>
        <w:adjustRightInd w:val="0"/>
        <w:snapToGrid w:val="0"/>
        <w:spacing w:before="156" w:beforeLines="50" w:line="360" w:lineRule="auto"/>
        <w:ind w:left="0" w:firstLine="425"/>
        <w:rPr>
          <w:rFonts w:ascii="宋体" w:hAnsi="宋体"/>
          <w:color w:val="000000"/>
          <w:szCs w:val="21"/>
        </w:rPr>
      </w:pPr>
      <w:r>
        <w:rPr>
          <w:rFonts w:hint="eastAsia" w:ascii="宋体" w:hAnsi="宋体"/>
          <w:color w:val="000000"/>
          <w:szCs w:val="21"/>
        </w:rPr>
        <w:t xml:space="preserve"> 乙方应建立健全本项目现场安健环管理组织体系，必须辨识乙方所承包作业项目的风险，入厂作业时对管控措施进行隐患排查，并将上述资料建档备查，同时明确现场项目管理主体责任。</w:t>
      </w:r>
    </w:p>
    <w:p w14:paraId="19103568">
      <w:pPr>
        <w:numPr>
          <w:ilvl w:val="0"/>
          <w:numId w:val="2"/>
        </w:numPr>
        <w:adjustRightInd w:val="0"/>
        <w:snapToGrid w:val="0"/>
        <w:spacing w:before="156" w:beforeLines="50" w:line="360" w:lineRule="auto"/>
        <w:ind w:left="0" w:firstLine="425"/>
        <w:rPr>
          <w:rFonts w:ascii="宋体" w:hAnsi="宋体"/>
          <w:color w:val="000000"/>
          <w:szCs w:val="21"/>
        </w:rPr>
      </w:pPr>
      <w:r>
        <w:rPr>
          <w:rFonts w:hint="eastAsia" w:ascii="宋体" w:hAnsi="宋体"/>
          <w:color w:val="000000"/>
          <w:szCs w:val="21"/>
        </w:rPr>
        <w:t>乙方项目经理及安全管理人员应取得乙方公司注册地地方安全监督管理部门、行业主管部门、有相应资质的培训机构颁发的安全管理资格证明。</w:t>
      </w:r>
    </w:p>
    <w:p w14:paraId="4995C599">
      <w:pPr>
        <w:numPr>
          <w:ilvl w:val="0"/>
          <w:numId w:val="2"/>
        </w:numPr>
        <w:adjustRightInd w:val="0"/>
        <w:snapToGrid w:val="0"/>
        <w:spacing w:before="156" w:beforeLines="50" w:line="360" w:lineRule="auto"/>
        <w:ind w:left="0" w:firstLine="425"/>
        <w:rPr>
          <w:rFonts w:ascii="宋体" w:hAnsi="宋体"/>
          <w:color w:val="000000"/>
          <w:szCs w:val="21"/>
        </w:rPr>
      </w:pPr>
      <w:r>
        <w:rPr>
          <w:rFonts w:hint="eastAsia" w:ascii="宋体" w:hAnsi="宋体"/>
          <w:color w:val="000000"/>
          <w:szCs w:val="21"/>
        </w:rPr>
        <w:t>乙方应在入厂前完成本项目所有工种的安全操作规程培训、二级教育培训及考试，提供证明材料。甲方按照公司《相关方EHS管理标准》对乙方实施准入审查，并组织教育培训考试及资格认定。</w:t>
      </w:r>
    </w:p>
    <w:p w14:paraId="1BAC8BC4">
      <w:pPr>
        <w:numPr>
          <w:ilvl w:val="0"/>
          <w:numId w:val="2"/>
        </w:numPr>
        <w:adjustRightInd w:val="0"/>
        <w:snapToGrid w:val="0"/>
        <w:spacing w:before="156" w:beforeLines="50" w:line="360" w:lineRule="auto"/>
        <w:ind w:left="0" w:firstLine="425"/>
        <w:rPr>
          <w:rFonts w:ascii="宋体" w:hAnsi="宋体"/>
          <w:color w:val="000000"/>
          <w:szCs w:val="21"/>
        </w:rPr>
      </w:pPr>
      <w:r>
        <w:rPr>
          <w:rFonts w:hint="eastAsia" w:ascii="宋体" w:hAnsi="宋体"/>
          <w:color w:val="000000"/>
          <w:szCs w:val="21"/>
        </w:rPr>
        <w:t xml:space="preserve"> 乙方施工管理纳入甲方一体化管理。乙方应严格遵守甲方安健环管理制度，接受甲方监督、考核和奖励；乙方有责任监督、制止、举报其他违章行为，共同创建良好的安健环工作氛围。</w:t>
      </w:r>
    </w:p>
    <w:p w14:paraId="460D0165">
      <w:pPr>
        <w:numPr>
          <w:ilvl w:val="0"/>
          <w:numId w:val="2"/>
        </w:numPr>
        <w:adjustRightInd w:val="0"/>
        <w:snapToGrid w:val="0"/>
        <w:spacing w:before="156" w:beforeLines="50" w:line="360" w:lineRule="auto"/>
        <w:ind w:left="0" w:firstLine="425"/>
        <w:rPr>
          <w:rFonts w:ascii="宋体" w:hAnsi="宋体"/>
          <w:color w:val="000000"/>
          <w:szCs w:val="21"/>
        </w:rPr>
      </w:pPr>
      <w:r>
        <w:rPr>
          <w:rFonts w:hint="eastAsia" w:ascii="宋体" w:hAnsi="宋体"/>
          <w:color w:val="000000"/>
          <w:szCs w:val="21"/>
        </w:rPr>
        <w:t xml:space="preserve">  未尽事宜双方在遵守法律、法规的前提下，在不违反甲方管理制度的前提下协商解决。</w:t>
      </w:r>
    </w:p>
    <w:p w14:paraId="1E7E378B">
      <w:pPr>
        <w:numPr>
          <w:ilvl w:val="0"/>
          <w:numId w:val="2"/>
        </w:numPr>
        <w:adjustRightInd w:val="0"/>
        <w:snapToGrid w:val="0"/>
        <w:spacing w:before="156" w:beforeLines="50" w:line="360" w:lineRule="auto"/>
        <w:ind w:left="0" w:firstLine="425"/>
        <w:rPr>
          <w:rFonts w:ascii="宋体" w:hAnsi="宋体"/>
          <w:color w:val="000000"/>
          <w:szCs w:val="21"/>
        </w:rPr>
      </w:pPr>
      <w:r>
        <w:rPr>
          <w:rFonts w:hint="eastAsia" w:ascii="宋体" w:hAnsi="宋体"/>
          <w:color w:val="000000"/>
          <w:szCs w:val="21"/>
        </w:rPr>
        <w:t xml:space="preserve"> 乙方承诺在项目合同期内承接甲方 EHS 管理目标并承担违约责任。</w:t>
      </w:r>
    </w:p>
    <w:p w14:paraId="77C36E82">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不发生人身轻伤及以上事故；</w:t>
      </w:r>
    </w:p>
    <w:p w14:paraId="4EF8165F">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不发生设备事故；</w:t>
      </w:r>
    </w:p>
    <w:p w14:paraId="1BB0D53E">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不发生二类及以上障碍；</w:t>
      </w:r>
    </w:p>
    <w:p w14:paraId="646E50E4">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不发生大型施工机械损坏事故；</w:t>
      </w:r>
    </w:p>
    <w:p w14:paraId="6E6F5A05">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不发生火灾事故；</w:t>
      </w:r>
    </w:p>
    <w:p w14:paraId="748E0BCA">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不发生同等责任一般及以上交通事故；</w:t>
      </w:r>
    </w:p>
    <w:p w14:paraId="454CFEEB">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不发生职业健康危害事件或事故；</w:t>
      </w:r>
    </w:p>
    <w:p w14:paraId="41E46DA3">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无职业病病例；</w:t>
      </w:r>
    </w:p>
    <w:p w14:paraId="0F55A50C">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不发生环境污染事件或事故；</w:t>
      </w:r>
    </w:p>
    <w:p w14:paraId="04E18D81">
      <w:pPr>
        <w:numPr>
          <w:ilvl w:val="0"/>
          <w:numId w:val="3"/>
        </w:numPr>
        <w:adjustRightInd w:val="0"/>
        <w:snapToGrid w:val="0"/>
        <w:spacing w:before="156" w:beforeLines="50"/>
        <w:rPr>
          <w:rFonts w:ascii="宋体" w:hAnsi="宋体"/>
          <w:color w:val="000000"/>
          <w:szCs w:val="21"/>
        </w:rPr>
      </w:pPr>
      <w:r>
        <w:rPr>
          <w:rFonts w:hint="eastAsia" w:ascii="宋体" w:hAnsi="宋体"/>
          <w:color w:val="000000"/>
          <w:szCs w:val="21"/>
        </w:rPr>
        <w:t>不发生群体性事件和负面舆情事件。</w:t>
      </w:r>
    </w:p>
    <w:p w14:paraId="5D410B57">
      <w:pPr>
        <w:adjustRightInd w:val="0"/>
        <w:snapToGrid w:val="0"/>
        <w:spacing w:before="156" w:beforeLines="50" w:line="360" w:lineRule="auto"/>
        <w:ind w:left="0" w:firstLine="523" w:firstLineChars="217"/>
        <w:rPr>
          <w:rFonts w:ascii="宋体" w:hAnsi="宋体"/>
          <w:b/>
          <w:color w:val="000000"/>
          <w:szCs w:val="21"/>
        </w:rPr>
      </w:pPr>
      <w:r>
        <w:rPr>
          <w:rFonts w:hint="eastAsia" w:ascii="宋体" w:hAnsi="宋体"/>
          <w:b/>
          <w:color w:val="000000"/>
          <w:szCs w:val="21"/>
        </w:rPr>
        <w:t>3.2 入厂准入审查</w:t>
      </w:r>
    </w:p>
    <w:p w14:paraId="1F760C1E">
      <w:pPr>
        <w:pStyle w:val="7"/>
        <w:widowControl w:val="0"/>
        <w:numPr>
          <w:ilvl w:val="1"/>
          <w:numId w:val="4"/>
        </w:numPr>
        <w:adjustRightInd w:val="0"/>
        <w:snapToGrid w:val="0"/>
        <w:spacing w:line="360" w:lineRule="auto"/>
        <w:ind w:left="0" w:firstLine="426"/>
        <w:contextualSpacing w:val="0"/>
        <w:rPr>
          <w:rFonts w:ascii="宋体" w:hAnsi="宋体"/>
          <w:color w:val="000000"/>
          <w:szCs w:val="21"/>
        </w:rPr>
      </w:pPr>
      <w:r>
        <w:rPr>
          <w:rFonts w:hint="eastAsia" w:ascii="宋体" w:hAnsi="宋体"/>
          <w:color w:val="000000"/>
          <w:szCs w:val="21"/>
        </w:rPr>
        <w:t>乙方需要在本协议书签订前完成合同和技术协议签订。</w:t>
      </w:r>
    </w:p>
    <w:p w14:paraId="3F02B7B6">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乙方应在入厂前三天向甲方EHS部报备进厂计划，并按照甲方EHS部要求提交已经甲方项目管理部门初步审核签字的准入审查清单。入厂资料包括但不局限于合同、技术协议、单位资质、授权书、管理人员资质（项目经理、技术负责人、安全员资质及施工单位近1年在企业注册地社保管理部门为其缴纳社保的证明材料）、施工人员名单及身份证复印件、</w:t>
      </w:r>
      <w:r>
        <w:rPr>
          <w:rFonts w:hint="eastAsia" w:ascii="宋体" w:hAnsi="宋体"/>
          <w:b/>
          <w:color w:val="000000"/>
          <w:szCs w:val="21"/>
          <w:u w:val="single"/>
        </w:rPr>
        <w:t>意外伤害保险手续（人身意外险单人保额不低于100万元），</w:t>
      </w:r>
      <w:r>
        <w:rPr>
          <w:rFonts w:hint="eastAsia" w:ascii="宋体" w:hAnsi="宋体"/>
          <w:color w:val="000000"/>
          <w:szCs w:val="21"/>
        </w:rPr>
        <w:t>体检报告、特种设备作业资格证、施工工器具及电动工器具清单等。</w:t>
      </w:r>
    </w:p>
    <w:p w14:paraId="57AA787A">
      <w:pPr>
        <w:pStyle w:val="7"/>
        <w:widowControl w:val="0"/>
        <w:numPr>
          <w:ilvl w:val="1"/>
          <w:numId w:val="4"/>
        </w:numPr>
        <w:adjustRightInd w:val="0"/>
        <w:snapToGrid w:val="0"/>
        <w:spacing w:line="360" w:lineRule="auto"/>
        <w:ind w:left="0" w:firstLine="425"/>
        <w:contextualSpacing w:val="0"/>
        <w:rPr>
          <w:rFonts w:ascii="宋体" w:hAnsi="宋体"/>
          <w:b/>
          <w:color w:val="000000"/>
          <w:szCs w:val="21"/>
          <w:u w:val="single"/>
        </w:rPr>
      </w:pPr>
      <w:r>
        <w:rPr>
          <w:rFonts w:hint="eastAsia" w:ascii="宋体" w:hAnsi="宋体"/>
          <w:b/>
          <w:color w:val="000000"/>
          <w:szCs w:val="21"/>
          <w:u w:val="single"/>
        </w:rPr>
        <w:t>乙方用于本项目人员体检要求：非突发重大公共卫生应急响应时期，乙方须提供1年有效期内乙方公司注册地三级甲等医院或沧州市三级甲等医院体检证明（体检内容包括血压、心电图、血常规和胸透）；突发重大公共卫生应急响应或甲方特殊环境及工种要求时期，乙方应按照甲方要求到沧州市卫生防疫定点医院进行常规加特殊体检项目。乙方在入厂前向甲方提供真实体检报告。</w:t>
      </w:r>
    </w:p>
    <w:p w14:paraId="15401F17">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乙方应按照甲方E</w:t>
      </w:r>
      <w:r>
        <w:rPr>
          <w:rFonts w:ascii="宋体" w:hAnsi="宋体"/>
          <w:color w:val="000000"/>
          <w:szCs w:val="21"/>
        </w:rPr>
        <w:t>HS</w:t>
      </w:r>
      <w:r>
        <w:rPr>
          <w:rFonts w:hint="eastAsia" w:ascii="宋体" w:hAnsi="宋体"/>
          <w:color w:val="000000"/>
          <w:szCs w:val="21"/>
        </w:rPr>
        <w:t>部规定的时间、地点组织施工人员入厂参加培训、考试，合格后办理入厂和开工手续。甲方有权对乙方培训不合格人员予以再培训或拒绝入厂处理。乙方在合同期内允许更换3次施工人员参加EHS培训考试。乙方必须参加甲方项目管理部门组织的EHS示范教育区参观教育培训。</w:t>
      </w:r>
    </w:p>
    <w:p w14:paraId="1A35D536">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乙方施工机具及电动工器具需经甲方专业检查确认。所有特种机械（主要是起重设备需提前向甲方报验手续，合格后需经安全技术交底方可进入厂区作业）。甲方对气瓶的使用严格执行国家标准，气瓶运输必须采用专有车辆，气瓶储存必须采用专有围栏定点摆放，乙方需要提前准备。</w:t>
      </w:r>
    </w:p>
    <w:p w14:paraId="17E6DA02">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乙方应按照标准采购有效期内合格的安全防护用具和个人防护PPE，特别说明登高作业安全带必须使用五点式安全带。</w:t>
      </w:r>
    </w:p>
    <w:p w14:paraId="00BB01BC">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乙方要认真勘察现场，乙方按照甲方要求编制三措两案（施工组织措施、技术措施、安全措施、施工方案，对于高风险作业还应编制应急预案），制定并经甲方EHS部审核的有针对性的安全技术措施计划，严格按照施工组织方案和有关安全要求施工。</w:t>
      </w:r>
    </w:p>
    <w:p w14:paraId="312771DD">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乙方雇佣的从业人员应身体健康(无高血压、心脏病、贫血、癫痫、眩晕、严重关节炎等)，无残疾、不得有不适宜本承包工程的职业禁忌症。接触职业危害因素或有特殊健康要求的作业人员提供一年内职业健康体检报告，其他人员出具县（区）级或以上医院体检合格证明。所有从业人员体检合格，并将体检合格证明复印件、工伤保险证明材料交甲方审查。不得雇佣童工，非特殊工种（从事绿化、现场技术服务、项目主要管理负责人等非重体力和高风险作业人员等）的工作人员年龄不得超过6</w:t>
      </w:r>
      <w:r>
        <w:rPr>
          <w:rFonts w:ascii="宋体" w:hAnsi="宋体"/>
          <w:color w:val="000000"/>
          <w:szCs w:val="21"/>
        </w:rPr>
        <w:t>0</w:t>
      </w:r>
      <w:r>
        <w:rPr>
          <w:rFonts w:hint="eastAsia" w:ascii="宋体" w:hAnsi="宋体"/>
          <w:color w:val="000000"/>
          <w:szCs w:val="21"/>
        </w:rPr>
        <w:t>周岁，出具工作人员花名册和身份证明以及作业资质证书等材料交甲方审查。</w:t>
      </w:r>
    </w:p>
    <w:p w14:paraId="603686CB">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甲方项目归口管理部门应对乙方的项目负责人、技术负责人、安全负责人进行面试，面试不合格的乙方应予以无条件更换。</w:t>
      </w:r>
    </w:p>
    <w:p w14:paraId="5FE951DF">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甲方项目归口管理部门负责对乙方进行部门级EHS培训，监督组织班组级安全培训。向乙方介绍甲方有关安健环生产管理制度、规定和要求；并介绍施工中有关安全、防火、环境保护、职业健康等规章制度及要求。</w:t>
      </w:r>
    </w:p>
    <w:p w14:paraId="166EAC26">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乙方应针对工作的特点及危险因素对所有施工人员进行安全教育、EHS 技术交底和培训，并经考试合格。甲方对所有人员按其所从事的专业分别组织进行《安规》及甲方安健环管理制度的有关条款的学习，并经考试合格后方可上岗工作。</w:t>
      </w:r>
    </w:p>
    <w:p w14:paraId="493EE277">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 xml:space="preserve"> 乙方应根据工程项目内容和特点制定高危险作业清单，必须按照甲方要求办理高风险作业措施票（JSA）。</w:t>
      </w:r>
    </w:p>
    <w:p w14:paraId="1913B4A2">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乙方应取得承包范围内特种作业的许可证（如高处作业、起重、电梯、叉车、金属探伤及热处理、压力容器等）。特种作业人员必须执行国家《特种作业人员安全技术培训考核管理规定》和《全国一体化政务服务平台电子证照特种作业操作证》规定，经省、市、地区的特种作业安全技术考核机构培训考核后持证上岗。甲方关于特种作业具体要求如下：</w:t>
      </w:r>
      <w:r>
        <w:rPr>
          <w:rFonts w:hint="eastAsia" w:ascii="宋体" w:hAnsi="宋体"/>
          <w:b/>
          <w:color w:val="000000"/>
          <w:szCs w:val="21"/>
          <w:u w:val="single"/>
        </w:rPr>
        <w:t>普通焊接作业时必须持有应急管理（原安监局）部门颁发的焊接与热切割特种作业资格证。在压力容器等特种设备上进行焊接作业必须同时持有应急管理（原安监局）部门颁发的焊接与热切割特种作业资格证的和按照《锅炉、压力容器、压力管道焊工考试规则》要求考试合格的焊工特种设备作业人员证；从事脚手架施工和高空作业（采用吊篮、吊绳等人体高空悬空作业）人员属于特种作业人员，必须持有应急管理部门颁发的相应的登高架设作业操作资格证和高处安装、维护、拆除作业操作资格证，所有证件电子证件均能通过二维码在应急管理部门官方网站查询。如有违反并造成任何甲方任何形式的损失，甲方有权对乙方追责。</w:t>
      </w:r>
    </w:p>
    <w:p w14:paraId="568F94CA">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 xml:space="preserve"> 乙方应向乙方业人员提供合格的、满足数量要求、型式一致的劳动保护、安全防护及个人防护用具和必要的防护药品。高温环境必须准备防暑降温药品和应急抢救药品。</w:t>
      </w:r>
    </w:p>
    <w:p w14:paraId="09E0667B">
      <w:pPr>
        <w:pStyle w:val="7"/>
        <w:widowControl w:val="0"/>
        <w:numPr>
          <w:ilvl w:val="1"/>
          <w:numId w:val="4"/>
        </w:numPr>
        <w:adjustRightInd w:val="0"/>
        <w:snapToGrid w:val="0"/>
        <w:spacing w:line="360" w:lineRule="auto"/>
        <w:ind w:left="0" w:firstLine="425"/>
        <w:contextualSpacing w:val="0"/>
        <w:rPr>
          <w:rFonts w:ascii="宋体" w:hAnsi="宋体"/>
          <w:color w:val="000000"/>
          <w:szCs w:val="21"/>
        </w:rPr>
      </w:pPr>
      <w:r>
        <w:rPr>
          <w:rFonts w:hint="eastAsia" w:ascii="宋体" w:hAnsi="宋体"/>
          <w:color w:val="000000"/>
          <w:szCs w:val="21"/>
        </w:rPr>
        <w:t xml:space="preserve"> 乙方根据甲方《相关方EHS管理标准》定置管理要求布置施工现场，做好现场安全隔离、防护、标识、宣传标语，经甲方验收合格后开工。具体要求：乙方应在开工前24小时在甲方EHS部指定地点完成施工组合场地搭设工作。施工组合场地采用彩钢板硬质隔离围挡全封闭，在围挡显著位置悬挂五牌一图和其他甲方要求制作的安健环宣传展示牌匾。在甲方机房内施工的单位，地面必须采用塑料布（人造革）+细木工板+胶皮（人造革等用于防护的美观软性材料）防护，并设置不锈钢围栏或活动围栏封闭。所有用于警戒隔离的硬质围栏均需采用红白间隔涂刷色的脚手杆搭设。拉设的警戒线必须设置高、中、低三道警戒线。</w:t>
      </w:r>
    </w:p>
    <w:p w14:paraId="52815A54">
      <w:pPr>
        <w:adjustRightInd w:val="0"/>
        <w:snapToGrid w:val="0"/>
        <w:spacing w:before="156" w:beforeLines="50" w:line="360" w:lineRule="auto"/>
        <w:ind w:left="0" w:firstLine="424" w:firstLineChars="176"/>
        <w:rPr>
          <w:rFonts w:ascii="宋体" w:hAnsi="宋体"/>
          <w:b/>
          <w:color w:val="000000"/>
          <w:szCs w:val="21"/>
        </w:rPr>
      </w:pPr>
      <w:r>
        <w:rPr>
          <w:rFonts w:hint="eastAsia" w:ascii="宋体" w:hAnsi="宋体"/>
          <w:b/>
          <w:color w:val="000000"/>
          <w:szCs w:val="21"/>
        </w:rPr>
        <w:t>3.3 施工管理</w:t>
      </w:r>
    </w:p>
    <w:p w14:paraId="7DB968AE">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b/>
          <w:color w:val="000000"/>
          <w:szCs w:val="21"/>
          <w:u w:val="single"/>
        </w:rPr>
        <w:t>施工期间，乙方依据投标文件委派</w:t>
      </w:r>
      <w:r>
        <w:rPr>
          <w:rFonts w:ascii="宋体" w:hAnsi="宋体"/>
          <w:b/>
          <w:color w:val="000000"/>
          <w:szCs w:val="21"/>
          <w:u w:val="single"/>
        </w:rPr>
        <w:t xml:space="preserve">        </w:t>
      </w:r>
      <w:r>
        <w:rPr>
          <w:rFonts w:hint="eastAsia" w:ascii="宋体" w:hAnsi="宋体"/>
          <w:b/>
          <w:color w:val="000000"/>
          <w:szCs w:val="21"/>
          <w:u w:val="single"/>
        </w:rPr>
        <w:t>为本项目项目经理，同时委派        为本项目安全员，</w:t>
      </w:r>
      <w:r>
        <w:rPr>
          <w:rFonts w:hint="eastAsia" w:ascii="宋体" w:hAnsi="宋体"/>
          <w:color w:val="000000"/>
          <w:szCs w:val="21"/>
        </w:rPr>
        <w:t>负责本工程项目的所有安健环管理工作，负责联系甲方项目管理部门安全主管和甲方EHS部，落实甲方安健环管理要求。</w:t>
      </w:r>
      <w:r>
        <w:rPr>
          <w:rFonts w:hint="eastAsia" w:ascii="宋体" w:hAnsi="宋体"/>
          <w:b/>
          <w:i/>
          <w:color w:val="000000"/>
          <w:szCs w:val="21"/>
          <w:u w:val="single"/>
        </w:rPr>
        <w:t>乙方不得随意更换投标文件所列项目经理及安全员。</w:t>
      </w:r>
      <w:r>
        <w:rPr>
          <w:rFonts w:hint="eastAsia" w:ascii="宋体" w:hAnsi="宋体"/>
          <w:color w:val="000000"/>
          <w:szCs w:val="21"/>
        </w:rPr>
        <w:t>项目经理和安全员离厂必须书面向EHS部报备，并确定现场临时负责人。合计离厂时间不能超过合同计划工期的30%。</w:t>
      </w:r>
    </w:p>
    <w:p w14:paraId="244F905A">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乙方应严格按照合同规定的施工人员数量和作业班次要求配置现场施工人员。乙方必须每天召开班前班后会并汇报，乙方的夜间加班需要制定专项措施并报甲方批准。</w:t>
      </w:r>
    </w:p>
    <w:p w14:paraId="4B395550">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乙方在施工期间必须严格执行和遵守甲方各项安健环管理规定，并接受甲方的监督、检查、指导、考核、奖励。</w:t>
      </w:r>
    </w:p>
    <w:p w14:paraId="4B6106E3">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乙方每天召开班前会和班后会并向甲方汇报。在每天施工前，应根据工作任务，对参与施工的作业人员进行安全技术交底。</w:t>
      </w:r>
    </w:p>
    <w:p w14:paraId="3F9347CA">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乙方应配备满足现场需要且合格的安全防护用品，并督促现场作业人员穿戴使用。</w:t>
      </w:r>
    </w:p>
    <w:p w14:paraId="5D07179A">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乙方在施工中，应注意地下管线及高压架空线路的保护。甲方应对地下管线和障碍物详细交底。乙方应贯彻交底要求，如遇情况，应及时向甲方和有关部门联系，采取保护措施。</w:t>
      </w:r>
    </w:p>
    <w:p w14:paraId="17A14F9D">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乙方所用施工机械、安全工器具及安全防护设施、安全用具应符合安全要求，满足施工需要，在开工前由甲方对电动工器具检查检验，张贴合格证。所使用的特种设备必须经具备资质的质检单位检验合格，并张贴合格证。所有特种设备跨区域使用均需依法办理手续。</w:t>
      </w:r>
    </w:p>
    <w:p w14:paraId="50D1FC63">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甲方现场禁止使用核放射材料，如需使用需要提前报备。</w:t>
      </w:r>
    </w:p>
    <w:p w14:paraId="4C4B0965">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乙方施工产生的危废、固废、危化品的运输、储存、使用、处置均需满足国家法律法规要求，所有费用均由乙方承担。由于违规使用造成甲方损失，甲方有权予以追究乙方责任并索赔所有损失。</w:t>
      </w:r>
    </w:p>
    <w:p w14:paraId="5B1D2FAF">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扬尘施工和运输应满足下列要求：乙方应做好施工现场扬尘污染防治工作，并制定具体的扬尘污染防治措施。 运输施工垃圾、土方、灰渣等散装、流体物料的车辆应当采取密闭或者其它措施防止物料遗撒造成扬尘污染，并按照规定路线行驶。</w:t>
      </w:r>
    </w:p>
    <w:p w14:paraId="678F3593">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甲方将按照EHS要素管理要求对施工过程进行全过程管理，并执行EHS验收制度，乙方应予以遵守和执行。</w:t>
      </w:r>
    </w:p>
    <w:p w14:paraId="6F0F4BC9">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甲、乙双方对于施工区域、作业环境、操作设施设备、工具用具等必须认真检查，发现隐患、立即停止施工，落实整改后方准施工。一经施工，就表示施工单位确认施工区域、作业环境、操作设施设备、工具用具等符合安全要求和处于安全状态。施工单位对于施工过程中由于上述因素不良而导致的事故后果负全责。</w:t>
      </w:r>
    </w:p>
    <w:p w14:paraId="6A2B4FF0">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乙方人员对于施工现场的脚手架、各类安全防护设施、安全标志和警告牌不准擅自拆除、变更。如确有需要拆除变动的，必须经过工地施工负责人和甲乙双方指派的安全管理人员同意，并采取必要、可靠的安全措施后方可拆除。任何一方人员擅自拆除所造成的后果，均由该方人员及其单位负责。</w:t>
      </w:r>
    </w:p>
    <w:p w14:paraId="522B8EA2">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乙方所有作业均应在规定的区域内完成，未经甲方批准不得进入其它区域。</w:t>
      </w:r>
    </w:p>
    <w:p w14:paraId="6FD94898">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 xml:space="preserve"> 乙方在整个施工过程中，必须保证现场规范、整洁，设备、设施见本色，乙方区域内的设备成品保护责任在乙方范围内。</w:t>
      </w:r>
    </w:p>
    <w:p w14:paraId="2D6353FB">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在乙方施工现场存在较大安全隐患或出现紧急安全事件的情况下，甲方有权下令立即停工，乙方必须采取有效措施，待问题得到彻底整改并征得甲方同意后方可恢复施工，停工期间的所有损失由乙方承担。</w:t>
      </w:r>
    </w:p>
    <w:p w14:paraId="0C232952">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 xml:space="preserve"> 乙方施工中必须制定严密的措施防止环境污染和职业病。</w:t>
      </w:r>
    </w:p>
    <w:p w14:paraId="5D2E3FC2">
      <w:pPr>
        <w:pStyle w:val="7"/>
        <w:widowControl w:val="0"/>
        <w:numPr>
          <w:ilvl w:val="1"/>
          <w:numId w:val="5"/>
        </w:numPr>
        <w:adjustRightInd w:val="0"/>
        <w:snapToGrid w:val="0"/>
        <w:spacing w:line="360" w:lineRule="auto"/>
        <w:ind w:left="0" w:firstLine="420"/>
        <w:contextualSpacing w:val="0"/>
        <w:rPr>
          <w:rFonts w:ascii="宋体" w:hAnsi="宋体"/>
          <w:color w:val="000000"/>
          <w:szCs w:val="21"/>
        </w:rPr>
      </w:pPr>
      <w:r>
        <w:rPr>
          <w:rFonts w:hint="eastAsia" w:ascii="宋体" w:hAnsi="宋体"/>
          <w:color w:val="000000"/>
          <w:szCs w:val="21"/>
        </w:rPr>
        <w:t xml:space="preserve"> 乙方使用电气设备前应先进行检测，并做好检测记录，使用检修电源应经甲方批准，严禁擅自乱拉电气线路和违规使用电气设备。</w:t>
      </w:r>
    </w:p>
    <w:p w14:paraId="22890339">
      <w:pPr>
        <w:pStyle w:val="7"/>
        <w:widowControl w:val="0"/>
        <w:numPr>
          <w:ilvl w:val="1"/>
          <w:numId w:val="5"/>
        </w:numPr>
        <w:adjustRightInd w:val="0"/>
        <w:snapToGrid w:val="0"/>
        <w:spacing w:line="360" w:lineRule="auto"/>
        <w:ind w:left="0" w:firstLine="420"/>
        <w:contextualSpacing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送货需要入厂车辆如果为重型柴油车，需满足国六标准，否则不能入厂；乙方因施工需要进厂的非道路移动车辆包括：挖掘机、装载机、起重机、推土机、压路机、摊铺机、平地机、铲车、推车、吊车、叉车、桩工机械、材料装卸机械、工业探钻设备、堆高机、牵引车、空气压缩机、发电机组、场内车辆、非公路用卡车、水泵等装配有柴油发动机的移动机械和可运输工业设备均应满足国三排放标准，否则不能入厂；其他蓝牌货车办理入厂手续方可入厂。</w:t>
      </w:r>
    </w:p>
    <w:p w14:paraId="2485F60C">
      <w:pPr>
        <w:adjustRightInd w:val="0"/>
        <w:snapToGrid w:val="0"/>
        <w:spacing w:before="156" w:beforeLines="50" w:line="360" w:lineRule="auto"/>
        <w:rPr>
          <w:rFonts w:ascii="宋体" w:hAnsi="宋体"/>
          <w:b/>
          <w:color w:val="000000"/>
          <w:szCs w:val="21"/>
        </w:rPr>
      </w:pPr>
      <w:r>
        <w:rPr>
          <w:rFonts w:ascii="宋体" w:hAnsi="宋体"/>
          <w:b/>
          <w:color w:val="000000"/>
          <w:szCs w:val="21"/>
        </w:rPr>
        <w:t>3.4</w:t>
      </w:r>
      <w:r>
        <w:rPr>
          <w:rFonts w:hint="eastAsia" w:ascii="宋体" w:hAnsi="宋体"/>
          <w:b/>
          <w:color w:val="000000"/>
          <w:szCs w:val="21"/>
        </w:rPr>
        <w:t xml:space="preserve"> 后评价管理</w:t>
      </w:r>
    </w:p>
    <w:p w14:paraId="5CC192F5">
      <w:pPr>
        <w:pStyle w:val="7"/>
        <w:numPr>
          <w:ilvl w:val="0"/>
          <w:numId w:val="6"/>
        </w:numPr>
        <w:adjustRightInd w:val="0"/>
        <w:snapToGrid w:val="0"/>
        <w:spacing w:before="156" w:beforeLines="50" w:line="360" w:lineRule="auto"/>
        <w:ind w:left="-142" w:leftChars="-59" w:firstLine="566" w:firstLineChars="236"/>
        <w:rPr>
          <w:rFonts w:ascii="宋体" w:hAnsi="宋体"/>
          <w:color w:val="000000"/>
          <w:szCs w:val="21"/>
        </w:rPr>
      </w:pPr>
      <w:r>
        <w:rPr>
          <w:rFonts w:hint="eastAsia" w:ascii="宋体" w:hAnsi="宋体"/>
          <w:color w:val="000000"/>
          <w:szCs w:val="21"/>
        </w:rPr>
        <w:t>甲方EHS部每年对乙方进行一次承包商评价，针对乙方在项目安健环管理中的表现以分值形式予以评价，报合同管理部门。</w:t>
      </w:r>
    </w:p>
    <w:p w14:paraId="7728BF0B">
      <w:pPr>
        <w:pStyle w:val="7"/>
        <w:numPr>
          <w:ilvl w:val="0"/>
          <w:numId w:val="6"/>
        </w:numPr>
        <w:adjustRightInd w:val="0"/>
        <w:snapToGrid w:val="0"/>
        <w:spacing w:before="156" w:beforeLines="50" w:line="360" w:lineRule="auto"/>
        <w:ind w:left="-142" w:leftChars="-59" w:firstLine="566" w:firstLineChars="236"/>
        <w:rPr>
          <w:rFonts w:ascii="宋体" w:hAnsi="宋体"/>
          <w:color w:val="000000"/>
          <w:szCs w:val="21"/>
        </w:rPr>
      </w:pPr>
      <w:r>
        <w:rPr>
          <w:rFonts w:hint="eastAsia" w:ascii="宋体" w:hAnsi="宋体"/>
          <w:color w:val="000000"/>
          <w:szCs w:val="21"/>
        </w:rPr>
        <w:t>甲方有权依据投标文件、EHS管理协议书的执行情况和现场安健环管理情况对乙方出具不合格评价意见，列入不合格名录的承包商将无法参与甲方项目投标。</w:t>
      </w:r>
    </w:p>
    <w:p w14:paraId="6A270305">
      <w:pPr>
        <w:adjustRightInd w:val="0"/>
        <w:snapToGrid w:val="0"/>
        <w:spacing w:before="156" w:beforeLines="50" w:line="360" w:lineRule="auto"/>
        <w:rPr>
          <w:rFonts w:ascii="宋体" w:hAnsi="宋体"/>
          <w:b/>
          <w:color w:val="000000"/>
          <w:szCs w:val="21"/>
        </w:rPr>
      </w:pPr>
      <w:r>
        <w:rPr>
          <w:rFonts w:hint="eastAsia" w:ascii="宋体" w:hAnsi="宋体"/>
          <w:b/>
          <w:color w:val="000000"/>
          <w:szCs w:val="21"/>
        </w:rPr>
        <w:t>4 双方责任</w:t>
      </w:r>
    </w:p>
    <w:p w14:paraId="2D9D6766">
      <w:pPr>
        <w:adjustRightInd w:val="0"/>
        <w:snapToGrid w:val="0"/>
        <w:spacing w:line="360" w:lineRule="auto"/>
        <w:ind w:left="0" w:firstLine="425"/>
        <w:rPr>
          <w:rFonts w:ascii="宋体" w:hAnsi="宋体"/>
          <w:color w:val="000000"/>
          <w:szCs w:val="21"/>
        </w:rPr>
      </w:pPr>
      <w:r>
        <w:rPr>
          <w:rFonts w:hint="eastAsia" w:ascii="宋体" w:hAnsi="宋体"/>
          <w:color w:val="000000"/>
          <w:szCs w:val="21"/>
        </w:rPr>
        <w:t>4.1 原则：依法合规、遵守合同、从严管理、落实责任。</w:t>
      </w:r>
    </w:p>
    <w:p w14:paraId="19BE5CB4">
      <w:pPr>
        <w:adjustRightInd w:val="0"/>
        <w:snapToGrid w:val="0"/>
        <w:spacing w:line="360" w:lineRule="auto"/>
        <w:ind w:left="0" w:firstLine="425"/>
        <w:rPr>
          <w:rFonts w:ascii="宋体" w:hAnsi="宋体"/>
          <w:color w:val="000000"/>
          <w:szCs w:val="21"/>
        </w:rPr>
      </w:pPr>
      <w:r>
        <w:rPr>
          <w:rFonts w:hint="eastAsia" w:ascii="宋体" w:hAnsi="宋体"/>
          <w:color w:val="000000"/>
          <w:szCs w:val="21"/>
        </w:rPr>
        <w:t>4.2 甲方责任：</w:t>
      </w:r>
    </w:p>
    <w:p w14:paraId="63B8806E">
      <w:pPr>
        <w:pStyle w:val="7"/>
        <w:numPr>
          <w:ilvl w:val="0"/>
          <w:numId w:val="7"/>
        </w:numPr>
        <w:adjustRightInd w:val="0"/>
        <w:snapToGrid w:val="0"/>
        <w:spacing w:line="360" w:lineRule="auto"/>
        <w:rPr>
          <w:rFonts w:ascii="宋体" w:hAnsi="宋体"/>
          <w:color w:val="000000"/>
          <w:szCs w:val="21"/>
        </w:rPr>
      </w:pPr>
      <w:r>
        <w:rPr>
          <w:rFonts w:hint="eastAsia" w:ascii="宋体" w:hAnsi="宋体"/>
          <w:color w:val="000000"/>
          <w:szCs w:val="21"/>
        </w:rPr>
        <w:t>甲方承担工程项目在厂施工期间相关方安健环管理责任。</w:t>
      </w:r>
    </w:p>
    <w:p w14:paraId="22FC8331">
      <w:pPr>
        <w:pStyle w:val="7"/>
        <w:numPr>
          <w:ilvl w:val="0"/>
          <w:numId w:val="7"/>
        </w:numPr>
        <w:adjustRightInd w:val="0"/>
        <w:snapToGrid w:val="0"/>
        <w:spacing w:line="360" w:lineRule="auto"/>
        <w:rPr>
          <w:rFonts w:ascii="宋体" w:hAnsi="宋体"/>
          <w:color w:val="000000"/>
          <w:szCs w:val="21"/>
        </w:rPr>
      </w:pPr>
      <w:r>
        <w:rPr>
          <w:rFonts w:hint="eastAsia" w:ascii="宋体" w:hAnsi="宋体"/>
          <w:color w:val="000000"/>
          <w:szCs w:val="21"/>
        </w:rPr>
        <w:t>甲方负责乙方准入审查管理职责。</w:t>
      </w:r>
    </w:p>
    <w:p w14:paraId="751AC55C">
      <w:pPr>
        <w:pStyle w:val="7"/>
        <w:numPr>
          <w:ilvl w:val="0"/>
          <w:numId w:val="7"/>
        </w:numPr>
        <w:adjustRightInd w:val="0"/>
        <w:snapToGrid w:val="0"/>
        <w:spacing w:line="360" w:lineRule="auto"/>
        <w:rPr>
          <w:rFonts w:ascii="宋体" w:hAnsi="宋体"/>
          <w:color w:val="000000"/>
          <w:szCs w:val="21"/>
        </w:rPr>
      </w:pPr>
      <w:r>
        <w:rPr>
          <w:rFonts w:hint="eastAsia" w:ascii="宋体" w:hAnsi="宋体"/>
          <w:color w:val="000000"/>
          <w:szCs w:val="21"/>
        </w:rPr>
        <w:t>甲方负责乙方工作票“三种人”资格进行考试审核，并公布名单。</w:t>
      </w:r>
    </w:p>
    <w:p w14:paraId="75B8BC16">
      <w:pPr>
        <w:pStyle w:val="7"/>
        <w:numPr>
          <w:ilvl w:val="0"/>
          <w:numId w:val="7"/>
        </w:numPr>
        <w:adjustRightInd w:val="0"/>
        <w:snapToGrid w:val="0"/>
        <w:spacing w:line="360" w:lineRule="auto"/>
        <w:rPr>
          <w:rFonts w:ascii="宋体" w:hAnsi="宋体"/>
          <w:color w:val="000000"/>
          <w:szCs w:val="21"/>
        </w:rPr>
      </w:pPr>
      <w:r>
        <w:rPr>
          <w:rFonts w:hint="eastAsia" w:ascii="宋体" w:hAnsi="宋体"/>
          <w:color w:val="000000"/>
          <w:szCs w:val="21"/>
        </w:rPr>
        <w:t>甲方负责工程项目EHS监督管理，提出考核和奖励意见。</w:t>
      </w:r>
    </w:p>
    <w:p w14:paraId="52E6717D">
      <w:pPr>
        <w:pStyle w:val="7"/>
        <w:numPr>
          <w:ilvl w:val="0"/>
          <w:numId w:val="7"/>
        </w:numPr>
        <w:adjustRightInd w:val="0"/>
        <w:snapToGrid w:val="0"/>
        <w:spacing w:line="360" w:lineRule="auto"/>
        <w:rPr>
          <w:rFonts w:ascii="宋体" w:hAnsi="宋体"/>
          <w:color w:val="000000"/>
          <w:szCs w:val="21"/>
        </w:rPr>
      </w:pPr>
      <w:r>
        <w:rPr>
          <w:rFonts w:hint="eastAsia" w:ascii="宋体" w:hAnsi="宋体"/>
          <w:color w:val="000000"/>
          <w:szCs w:val="21"/>
        </w:rPr>
        <w:t>甲方负责审批乙方提报的涉及高风险作业项目三措两案。</w:t>
      </w:r>
    </w:p>
    <w:p w14:paraId="2EFE54C4">
      <w:pPr>
        <w:pStyle w:val="7"/>
        <w:numPr>
          <w:ilvl w:val="0"/>
          <w:numId w:val="7"/>
        </w:numPr>
        <w:adjustRightInd w:val="0"/>
        <w:snapToGrid w:val="0"/>
        <w:spacing w:line="360" w:lineRule="auto"/>
        <w:rPr>
          <w:rFonts w:ascii="宋体" w:hAnsi="宋体"/>
          <w:color w:val="000000"/>
          <w:szCs w:val="21"/>
        </w:rPr>
      </w:pPr>
      <w:r>
        <w:rPr>
          <w:rFonts w:hint="eastAsia" w:ascii="宋体" w:hAnsi="宋体"/>
          <w:color w:val="000000"/>
          <w:szCs w:val="21"/>
        </w:rPr>
        <w:t>甲方负责按照级别权限审批高风险作业表单。</w:t>
      </w:r>
    </w:p>
    <w:p w14:paraId="3B21E8AF">
      <w:pPr>
        <w:pStyle w:val="7"/>
        <w:numPr>
          <w:ilvl w:val="0"/>
          <w:numId w:val="7"/>
        </w:numPr>
        <w:adjustRightInd w:val="0"/>
        <w:snapToGrid w:val="0"/>
        <w:spacing w:line="360" w:lineRule="auto"/>
        <w:rPr>
          <w:rFonts w:ascii="宋体" w:hAnsi="宋体"/>
          <w:color w:val="000000"/>
          <w:szCs w:val="21"/>
        </w:rPr>
      </w:pPr>
      <w:r>
        <w:rPr>
          <w:rFonts w:hint="eastAsia" w:ascii="宋体" w:hAnsi="宋体"/>
          <w:color w:val="000000"/>
          <w:szCs w:val="21"/>
        </w:rPr>
        <w:t>甲方负责组织安全协调会，部署项目安健环管理工作。</w:t>
      </w:r>
    </w:p>
    <w:p w14:paraId="6B35F89D">
      <w:pPr>
        <w:pStyle w:val="7"/>
        <w:numPr>
          <w:ilvl w:val="0"/>
          <w:numId w:val="7"/>
        </w:numPr>
        <w:adjustRightInd w:val="0"/>
        <w:snapToGrid w:val="0"/>
        <w:spacing w:line="360" w:lineRule="auto"/>
        <w:rPr>
          <w:rFonts w:ascii="宋体" w:hAnsi="宋体"/>
          <w:color w:val="000000"/>
          <w:szCs w:val="21"/>
        </w:rPr>
      </w:pPr>
      <w:r>
        <w:rPr>
          <w:rFonts w:hint="eastAsia" w:ascii="宋体" w:hAnsi="宋体"/>
          <w:color w:val="000000"/>
          <w:szCs w:val="21"/>
        </w:rPr>
        <w:t>协调解决厂区范围内所涉及到的第三方的EHS工作。</w:t>
      </w:r>
    </w:p>
    <w:p w14:paraId="72E4701B">
      <w:pPr>
        <w:adjustRightInd w:val="0"/>
        <w:snapToGrid w:val="0"/>
        <w:spacing w:line="360" w:lineRule="auto"/>
        <w:ind w:left="0" w:firstLine="425"/>
        <w:rPr>
          <w:rFonts w:ascii="宋体" w:hAnsi="宋体"/>
          <w:color w:val="000000"/>
          <w:szCs w:val="21"/>
        </w:rPr>
      </w:pPr>
      <w:r>
        <w:rPr>
          <w:rFonts w:hint="eastAsia" w:ascii="宋体" w:hAnsi="宋体"/>
          <w:color w:val="000000"/>
          <w:szCs w:val="21"/>
        </w:rPr>
        <w:t>4.3 乙方责任：</w:t>
      </w:r>
    </w:p>
    <w:p w14:paraId="7E9C4A13">
      <w:pPr>
        <w:pStyle w:val="7"/>
        <w:numPr>
          <w:ilvl w:val="0"/>
          <w:numId w:val="8"/>
        </w:numPr>
        <w:adjustRightInd w:val="0"/>
        <w:snapToGrid w:val="0"/>
        <w:spacing w:line="360" w:lineRule="auto"/>
        <w:ind w:hanging="534"/>
        <w:rPr>
          <w:rFonts w:ascii="宋体" w:hAnsi="宋体"/>
          <w:color w:val="000000"/>
          <w:szCs w:val="21"/>
        </w:rPr>
      </w:pPr>
      <w:r>
        <w:rPr>
          <w:rFonts w:hint="eastAsia" w:ascii="宋体" w:hAnsi="宋体"/>
          <w:color w:val="000000"/>
          <w:szCs w:val="21"/>
        </w:rPr>
        <w:t>乙方承担工程项目安健环主体责任。</w:t>
      </w:r>
    </w:p>
    <w:p w14:paraId="0D0323C7">
      <w:pPr>
        <w:pStyle w:val="7"/>
        <w:numPr>
          <w:ilvl w:val="0"/>
          <w:numId w:val="8"/>
        </w:numPr>
        <w:adjustRightInd w:val="0"/>
        <w:snapToGrid w:val="0"/>
        <w:spacing w:line="360" w:lineRule="auto"/>
        <w:ind w:hanging="534"/>
        <w:rPr>
          <w:rFonts w:ascii="宋体" w:hAnsi="宋体"/>
          <w:color w:val="000000"/>
          <w:szCs w:val="21"/>
        </w:rPr>
      </w:pPr>
      <w:r>
        <w:rPr>
          <w:rFonts w:hint="eastAsia" w:ascii="宋体" w:hAnsi="宋体"/>
          <w:color w:val="000000"/>
          <w:szCs w:val="21"/>
        </w:rPr>
        <w:t>乙方依法合规履行合同、技术协议及本协议安健环条款。</w:t>
      </w:r>
    </w:p>
    <w:p w14:paraId="63C80C28">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乙方依据法律法规和合同、技术协议、本协议要求组建项目管理团队和施工队伍，配置符合安健环规范和国家强制标准规定的机械设备、工具材料以及经检验合格的安全、电动工器具并向甲方报备。</w:t>
      </w:r>
    </w:p>
    <w:p w14:paraId="23F2DE79">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乙方依据本协议要求完成施工人员体检和保险缴纳，提供用于本项目的企业资质和人员资质文件，向甲方报备。</w:t>
      </w:r>
    </w:p>
    <w:p w14:paraId="6DA69B15">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乙方依规向施工人员足额配置防护用具。</w:t>
      </w:r>
    </w:p>
    <w:p w14:paraId="1311A40F">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乙方依法组织施工人员安健环培训和考试，向甲方报备。</w:t>
      </w:r>
    </w:p>
    <w:p w14:paraId="284FBC11">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乙方依据甲方准入审查意见予以整改并复审。</w:t>
      </w:r>
    </w:p>
    <w:p w14:paraId="0423DF62">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乙方依据甲方培训计划组织人员入厂培训、考试和参加警示教育活动，合格后办理出入证和开工手续。</w:t>
      </w:r>
    </w:p>
    <w:p w14:paraId="26669D4A">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乙方合同施工范围内的成品保护责任由乙方承担。</w:t>
      </w:r>
    </w:p>
    <w:p w14:paraId="4803DADF">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乙方认可并全力融入甲方EHS管理文化，遵守甲方EHS管理制度，在甲方统一部署下开展风险辨识和隐患排查治理并落实问题整改，无条件接受甲方监督、考核和奖励。</w:t>
      </w:r>
    </w:p>
    <w:p w14:paraId="03A7CF56">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乙方的安健环管理告知、申请责任。</w:t>
      </w:r>
    </w:p>
    <w:p w14:paraId="6F504748">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乙方具有申诉权力。</w:t>
      </w:r>
    </w:p>
    <w:p w14:paraId="7639079B">
      <w:pPr>
        <w:pStyle w:val="7"/>
        <w:numPr>
          <w:ilvl w:val="0"/>
          <w:numId w:val="8"/>
        </w:numPr>
        <w:adjustRightInd w:val="0"/>
        <w:snapToGrid w:val="0"/>
        <w:spacing w:line="360" w:lineRule="auto"/>
        <w:ind w:left="0" w:firstLine="426"/>
        <w:rPr>
          <w:rFonts w:ascii="宋体" w:hAnsi="宋体"/>
          <w:color w:val="000000"/>
          <w:szCs w:val="21"/>
        </w:rPr>
      </w:pPr>
      <w:r>
        <w:rPr>
          <w:rFonts w:hint="eastAsia" w:ascii="宋体" w:hAnsi="宋体"/>
          <w:color w:val="000000"/>
          <w:szCs w:val="21"/>
        </w:rPr>
        <w:t>本协议涉及的所有条款产生的费用均包含在乙方投标报价范围内，乙方在投标阶段应予以充分解读、合理报价。</w:t>
      </w:r>
    </w:p>
    <w:p w14:paraId="56CDFC12">
      <w:pPr>
        <w:adjustRightInd w:val="0"/>
        <w:snapToGrid w:val="0"/>
        <w:spacing w:before="156" w:beforeLines="50" w:line="360" w:lineRule="auto"/>
        <w:rPr>
          <w:rFonts w:ascii="宋体" w:hAnsi="宋体"/>
          <w:b/>
          <w:color w:val="000000"/>
          <w:szCs w:val="21"/>
        </w:rPr>
      </w:pPr>
      <w:r>
        <w:rPr>
          <w:rFonts w:hint="eastAsia" w:ascii="宋体" w:hAnsi="宋体"/>
          <w:b/>
          <w:color w:val="000000"/>
          <w:szCs w:val="21"/>
        </w:rPr>
        <w:t>5 奖励与考核</w:t>
      </w:r>
    </w:p>
    <w:p w14:paraId="755B408A">
      <w:pPr>
        <w:numPr>
          <w:ilvl w:val="0"/>
          <w:numId w:val="9"/>
        </w:numPr>
        <w:adjustRightInd w:val="0"/>
        <w:snapToGrid w:val="0"/>
        <w:spacing w:line="360" w:lineRule="auto"/>
        <w:ind w:left="567" w:hanging="141"/>
        <w:rPr>
          <w:rFonts w:ascii="宋体" w:hAnsi="宋体"/>
          <w:color w:val="000000"/>
          <w:szCs w:val="21"/>
        </w:rPr>
      </w:pPr>
      <w:r>
        <w:rPr>
          <w:rFonts w:hint="eastAsia" w:ascii="宋体" w:hAnsi="宋体"/>
          <w:color w:val="000000"/>
          <w:szCs w:val="21"/>
        </w:rPr>
        <w:t>考核</w:t>
      </w:r>
    </w:p>
    <w:p w14:paraId="4F85EEA9">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甲方及乙方依法履行合同及合同附件中关于EHS违约责任的考核条款，本考核条款同时包含安全、环保和职业健康要求。</w:t>
      </w:r>
    </w:p>
    <w:p w14:paraId="1F97034C">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乙方在严格履行合同条款的同时，依规执行甲方管理制度，接受甲方监督，依据本标准追究乙方责任，依规考核。</w:t>
      </w:r>
    </w:p>
    <w:p w14:paraId="2205A062">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由于乙方责任造成人身伤害、设备损坏等财产损失，由乙方承担全部责任，并赔偿对方或第三方因此造成的全部损失。情节严重的，甲方有权停止该项工程合同的执行。</w:t>
      </w:r>
    </w:p>
    <w:p w14:paraId="152B32D9">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乙方合同违约考核应按照合同条款在项目结算中予以体现。乙方违反甲方管理制度被甲方追责考核，在规定时间内以现金、转账等符合财务规定的形式向甲方财务部门缴纳罚款。</w:t>
      </w:r>
    </w:p>
    <w:p w14:paraId="1A87A19A">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发生乙方责任人身死亡事故，甲方及社会单位依据国家法律、合同条款及甲方损失依法追究乙方赔偿责任，并解除劳动合同，甲方不承担合同违约责任。</w:t>
      </w:r>
    </w:p>
    <w:p w14:paraId="04AC5185">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发生乙方责任环境污染事故，甲方依据国家法律、合同条款及甲方损失依法追究乙方赔偿责任，并解除劳动合同，甲方不承担合同违约责任。</w:t>
      </w:r>
    </w:p>
    <w:p w14:paraId="098296F7">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发生乙方责任职业健康及重大食品卫生事故，甲方依据国家法律、合同条款及甲方损失依法追究乙方赔偿责任，并解除劳动合同，甲方不承担合同违约责任。</w:t>
      </w:r>
    </w:p>
    <w:p w14:paraId="3756F9B9">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发生乙方责任人群体性事件对甲方造成负面舆情，甲方依据国家法律、合同条款及甲方损失依法追究乙方赔偿责任，并解除劳动合同，甲方不承担合同违约责任。</w:t>
      </w:r>
    </w:p>
    <w:p w14:paraId="1689D48A">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发生乙方责任重大火灾事故，甲方依据国家法律、合同条款及甲方损失依法追究乙方赔偿责任，并解除劳动合同，甲方不承担合同违约责任。</w:t>
      </w:r>
    </w:p>
    <w:p w14:paraId="1D97661E">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发生乙方责任一般设备事故、一般火灾事故、人身重伤事故或E</w:t>
      </w:r>
      <w:r>
        <w:rPr>
          <w:rFonts w:ascii="宋体" w:hAnsi="宋体"/>
          <w:color w:val="000000"/>
          <w:szCs w:val="21"/>
        </w:rPr>
        <w:t>HS</w:t>
      </w:r>
      <w:r>
        <w:rPr>
          <w:rFonts w:hint="eastAsia" w:ascii="宋体" w:hAnsi="宋体"/>
          <w:color w:val="000000"/>
          <w:szCs w:val="21"/>
        </w:rPr>
        <w:t>红色负面舆情，甲方依据国家法律、合同条款及甲方损失依法追究乙方赔偿责任，有权解除劳动合同，甲方不承担合同违约责任。</w:t>
      </w:r>
    </w:p>
    <w:p w14:paraId="1FD786E1">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乙方责任造成甲方一类障碍事故或E</w:t>
      </w:r>
      <w:r>
        <w:rPr>
          <w:rFonts w:ascii="宋体" w:hAnsi="宋体"/>
          <w:color w:val="000000"/>
          <w:szCs w:val="21"/>
        </w:rPr>
        <w:t>HS</w:t>
      </w:r>
      <w:r>
        <w:rPr>
          <w:rFonts w:hint="eastAsia" w:ascii="宋体" w:hAnsi="宋体"/>
          <w:color w:val="000000"/>
          <w:szCs w:val="21"/>
        </w:rPr>
        <w:t>橙色负面舆情，对乙方处以10万元罚款，合同金额不满10万元的按照合同剩余金额处罚，甲方不承担合同违约责任。</w:t>
      </w:r>
    </w:p>
    <w:p w14:paraId="6640FE0B">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乙方责任造成二类障碍或人身轻伤或E</w:t>
      </w:r>
      <w:r>
        <w:rPr>
          <w:rFonts w:ascii="宋体" w:hAnsi="宋体"/>
          <w:color w:val="000000"/>
          <w:szCs w:val="21"/>
        </w:rPr>
        <w:t>HS</w:t>
      </w:r>
      <w:r>
        <w:rPr>
          <w:rFonts w:hint="eastAsia" w:ascii="宋体" w:hAnsi="宋体"/>
          <w:color w:val="000000"/>
          <w:szCs w:val="21"/>
        </w:rPr>
        <w:t>黄色负面舆情，对乙方处以2</w:t>
      </w:r>
      <w:r>
        <w:rPr>
          <w:rFonts w:ascii="宋体" w:hAnsi="宋体"/>
          <w:color w:val="000000"/>
          <w:szCs w:val="21"/>
        </w:rPr>
        <w:t xml:space="preserve"> </w:t>
      </w:r>
      <w:r>
        <w:rPr>
          <w:rFonts w:hint="eastAsia" w:ascii="宋体" w:hAnsi="宋体"/>
          <w:color w:val="000000"/>
          <w:szCs w:val="21"/>
        </w:rPr>
        <w:t>万元罚款，合同金额不满2万元的按照合同剩余金额处罚，甲方不承担合同违约责任。</w:t>
      </w:r>
    </w:p>
    <w:p w14:paraId="2727FF27">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乙方责任造成人身未遂事故或异常事件，对乙方处以5000元罚款，合同金额不满5000元的按照合同剩余金额处罚，甲方不承担合同违约责任。</w:t>
      </w:r>
    </w:p>
    <w:p w14:paraId="0EFC473C">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乙方责任违章造成损失未构成一般火灾事故的火情，处以5</w:t>
      </w:r>
      <w:r>
        <w:rPr>
          <w:rFonts w:ascii="宋体" w:hAnsi="宋体"/>
          <w:color w:val="000000"/>
          <w:szCs w:val="21"/>
        </w:rPr>
        <w:t xml:space="preserve">000 </w:t>
      </w:r>
      <w:r>
        <w:rPr>
          <w:rFonts w:hint="eastAsia" w:ascii="宋体" w:hAnsi="宋体"/>
          <w:color w:val="000000"/>
          <w:szCs w:val="21"/>
        </w:rPr>
        <w:t>元罚款；产生火情但未造成损失按照不安全事件考核。</w:t>
      </w:r>
    </w:p>
    <w:p w14:paraId="62ADAD1C">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乙方责任造成非等级不安全事件，对乙方处以</w:t>
      </w:r>
      <w:r>
        <w:rPr>
          <w:rFonts w:ascii="宋体" w:hAnsi="宋体"/>
          <w:color w:val="000000"/>
          <w:szCs w:val="21"/>
        </w:rPr>
        <w:t>2000</w:t>
      </w:r>
      <w:r>
        <w:rPr>
          <w:rFonts w:hint="eastAsia" w:ascii="宋体" w:hAnsi="宋体"/>
          <w:color w:val="000000"/>
          <w:szCs w:val="21"/>
        </w:rPr>
        <w:t>元罚款，甲方不承担合同违约责任。</w:t>
      </w:r>
    </w:p>
    <w:p w14:paraId="2AE2E220">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乙方违反《华润电力安全生产高压线》行为，每次对乙方处以2</w:t>
      </w:r>
      <w:r>
        <w:rPr>
          <w:rFonts w:ascii="宋体" w:hAnsi="宋体"/>
          <w:color w:val="000000"/>
          <w:szCs w:val="21"/>
        </w:rPr>
        <w:t xml:space="preserve">000 </w:t>
      </w:r>
      <w:r>
        <w:rPr>
          <w:rFonts w:hint="eastAsia" w:ascii="宋体" w:hAnsi="宋体"/>
          <w:color w:val="000000"/>
          <w:szCs w:val="21"/>
        </w:rPr>
        <w:t>元罚款并清除出厂，不再允许入厂；其它严重违章行为，每次处以乙方</w:t>
      </w:r>
      <w:r>
        <w:rPr>
          <w:rFonts w:ascii="宋体" w:hAnsi="宋体"/>
          <w:color w:val="000000"/>
          <w:szCs w:val="21"/>
        </w:rPr>
        <w:t>500</w:t>
      </w:r>
      <w:r>
        <w:rPr>
          <w:rFonts w:hint="eastAsia" w:ascii="宋体" w:hAnsi="宋体"/>
          <w:color w:val="000000"/>
          <w:szCs w:val="21"/>
        </w:rPr>
        <w:t>元罚款，情节严重清除出厂；乙方责任一般违章行为，每次处以乙方</w:t>
      </w:r>
      <w:r>
        <w:rPr>
          <w:rFonts w:ascii="宋体" w:hAnsi="宋体"/>
          <w:color w:val="000000"/>
          <w:szCs w:val="21"/>
        </w:rPr>
        <w:t>200</w:t>
      </w:r>
      <w:r>
        <w:rPr>
          <w:rFonts w:hint="eastAsia" w:ascii="宋体" w:hAnsi="宋体"/>
          <w:color w:val="000000"/>
          <w:szCs w:val="21"/>
        </w:rPr>
        <w:t>元罚款；以上违章行为全部根据公司反违章管理规定进行管理责任连带考核。</w:t>
      </w:r>
    </w:p>
    <w:p w14:paraId="1B1E5CD0">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未经甲方归口管理部门及职能管理部门许可，擅自动用、挪用、启用、关闭、损毁甲方消防设施、监控设施、电源设施、生产用水系统、压缩空气系统、燃油及车辆用油系统、进出厂计量系统、道路交通设施等系统设备设施，处以乙方</w:t>
      </w:r>
      <w:r>
        <w:rPr>
          <w:rFonts w:ascii="宋体" w:hAnsi="宋体"/>
          <w:color w:val="000000"/>
          <w:szCs w:val="21"/>
        </w:rPr>
        <w:t>5</w:t>
      </w:r>
      <w:r>
        <w:rPr>
          <w:rFonts w:hint="eastAsia" w:ascii="宋体" w:hAnsi="宋体"/>
          <w:color w:val="000000"/>
          <w:szCs w:val="21"/>
        </w:rPr>
        <w:t>00元罚款并赔付损失；造成甲方生产系统故障的按照事故等级追责。</w:t>
      </w:r>
    </w:p>
    <w:p w14:paraId="723E630F">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违反环境保护法律法规及标准但未造成环保损失的行为，按照严重违章行为考核；乙方违反环境保护法律法规及标准，造成环保损失但未造成环保事故的行为，按照违反华润电力高压线违章行为考核并赔付损失。</w:t>
      </w:r>
    </w:p>
    <w:p w14:paraId="04BAE65F">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乙方违反职业健康法律法规及标准但未造成损失的行为，按照严重违章行为考核；乙方违反职业健康法律法规及标准，造成损失但未造成事故的行为，按照违反华润电力高压线违章行为考核并赔付损失。</w:t>
      </w:r>
    </w:p>
    <w:p w14:paraId="19522972">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在上述考核条款之外，乙方违反本标准其它条款规定之行为考核</w:t>
      </w:r>
      <w:r>
        <w:rPr>
          <w:rFonts w:ascii="宋体" w:hAnsi="宋体"/>
          <w:color w:val="000000"/>
          <w:szCs w:val="21"/>
        </w:rPr>
        <w:t>2</w:t>
      </w:r>
      <w:r>
        <w:rPr>
          <w:rFonts w:hint="eastAsia" w:ascii="宋体" w:hAnsi="宋体"/>
          <w:color w:val="000000"/>
          <w:szCs w:val="21"/>
        </w:rPr>
        <w:t>00</w:t>
      </w:r>
      <w:r>
        <w:rPr>
          <w:rFonts w:ascii="宋体" w:hAnsi="宋体"/>
          <w:color w:val="000000"/>
          <w:szCs w:val="21"/>
        </w:rPr>
        <w:t>-2000</w:t>
      </w:r>
      <w:r>
        <w:rPr>
          <w:rFonts w:hint="eastAsia" w:ascii="宋体" w:hAnsi="宋体"/>
          <w:color w:val="000000"/>
          <w:szCs w:val="21"/>
        </w:rPr>
        <w:t>元。</w:t>
      </w:r>
    </w:p>
    <w:p w14:paraId="26D13D10">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甲方有权对乙方拒不整改、拖延整改、严重违章等行为采取按日计罚原则或列入不良供应商名录。</w:t>
      </w:r>
    </w:p>
    <w:p w14:paraId="04716746">
      <w:pPr>
        <w:numPr>
          <w:ilvl w:val="1"/>
          <w:numId w:val="10"/>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本标准未明确的违章、违纪行为甲方安委会按照损害程度确定考核依据。</w:t>
      </w:r>
    </w:p>
    <w:p w14:paraId="39458B0F">
      <w:pPr>
        <w:numPr>
          <w:ilvl w:val="0"/>
          <w:numId w:val="9"/>
        </w:numPr>
        <w:adjustRightInd w:val="0"/>
        <w:snapToGrid w:val="0"/>
        <w:spacing w:line="360" w:lineRule="auto"/>
        <w:ind w:left="567" w:hanging="141"/>
        <w:rPr>
          <w:rFonts w:ascii="宋体" w:hAnsi="宋体"/>
          <w:color w:val="000000"/>
          <w:szCs w:val="21"/>
        </w:rPr>
      </w:pPr>
      <w:r>
        <w:rPr>
          <w:rFonts w:hint="eastAsia" w:ascii="宋体" w:hAnsi="宋体"/>
          <w:color w:val="000000"/>
          <w:szCs w:val="21"/>
        </w:rPr>
        <w:t>奖励</w:t>
      </w:r>
    </w:p>
    <w:p w14:paraId="1E23319C">
      <w:pPr>
        <w:numPr>
          <w:ilvl w:val="1"/>
          <w:numId w:val="11"/>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甲方依据合同及本标准规定对乙方给予奖励；</w:t>
      </w:r>
    </w:p>
    <w:p w14:paraId="3DE0480F">
      <w:pPr>
        <w:numPr>
          <w:ilvl w:val="1"/>
          <w:numId w:val="11"/>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甲方依据乙方在风险辨识及隐患排查治理、应急抢险、班组安全建设、反违章、检修综合评价及其它EHS管控方面做出的贡献给予通报嘉奖、物质奖励、合同条款奖励、减免考核奖励及评优等合规的奖励。</w:t>
      </w:r>
    </w:p>
    <w:p w14:paraId="5C22FD64">
      <w:pPr>
        <w:numPr>
          <w:ilvl w:val="1"/>
          <w:numId w:val="11"/>
        </w:numPr>
        <w:adjustRightInd w:val="0"/>
        <w:snapToGrid w:val="0"/>
        <w:spacing w:line="360" w:lineRule="auto"/>
        <w:ind w:left="0" w:firstLine="420"/>
        <w:rPr>
          <w:rFonts w:ascii="宋体" w:hAnsi="宋体"/>
          <w:color w:val="000000"/>
          <w:szCs w:val="21"/>
        </w:rPr>
      </w:pPr>
      <w:r>
        <w:rPr>
          <w:rFonts w:hint="eastAsia" w:ascii="宋体" w:hAnsi="宋体"/>
          <w:color w:val="000000"/>
          <w:szCs w:val="21"/>
        </w:rPr>
        <w:t>甲方对乙方的奖励额度可参考《安全奖惩管理制度》或经公司安委会讨论确定。</w:t>
      </w:r>
    </w:p>
    <w:p w14:paraId="011CC11D">
      <w:pPr>
        <w:adjustRightInd w:val="0"/>
        <w:snapToGrid w:val="0"/>
        <w:spacing w:before="156" w:beforeLines="50" w:line="360" w:lineRule="auto"/>
        <w:rPr>
          <w:rFonts w:ascii="宋体" w:hAnsi="宋体"/>
          <w:b/>
          <w:color w:val="000000"/>
          <w:szCs w:val="21"/>
        </w:rPr>
      </w:pPr>
      <w:r>
        <w:rPr>
          <w:rFonts w:hint="eastAsia" w:ascii="宋体" w:hAnsi="宋体"/>
          <w:b/>
          <w:color w:val="000000"/>
          <w:szCs w:val="21"/>
        </w:rPr>
        <w:t>6 事故事件处理</w:t>
      </w:r>
    </w:p>
    <w:p w14:paraId="5BD6B865">
      <w:pPr>
        <w:adjustRightInd w:val="0"/>
        <w:snapToGrid w:val="0"/>
        <w:spacing w:line="360" w:lineRule="auto"/>
        <w:ind w:left="0" w:firstLine="566" w:firstLineChars="236"/>
        <w:rPr>
          <w:rFonts w:ascii="宋体" w:hAnsi="宋体"/>
          <w:color w:val="000000"/>
          <w:szCs w:val="21"/>
        </w:rPr>
      </w:pPr>
      <w:r>
        <w:rPr>
          <w:rFonts w:hint="eastAsia" w:ascii="宋体" w:hAnsi="宋体"/>
          <w:color w:val="000000"/>
          <w:szCs w:val="21"/>
        </w:rPr>
        <w:t>6.1 施工现场发生人身伤亡事故、人员中毒事故、火灾事故、环境保护事故等各类事故，乙方应在第一时间报告甲方，应保护事故现场，同时采取必要的应急措施，防止事故扩大。</w:t>
      </w:r>
    </w:p>
    <w:p w14:paraId="5091D0A7">
      <w:pPr>
        <w:adjustRightInd w:val="0"/>
        <w:snapToGrid w:val="0"/>
        <w:spacing w:line="360" w:lineRule="auto"/>
        <w:ind w:left="0" w:firstLine="566" w:firstLineChars="236"/>
        <w:rPr>
          <w:rFonts w:ascii="宋体" w:hAnsi="宋体"/>
          <w:color w:val="000000"/>
          <w:szCs w:val="21"/>
        </w:rPr>
      </w:pPr>
      <w:r>
        <w:rPr>
          <w:rFonts w:hint="eastAsia" w:ascii="宋体" w:hAnsi="宋体"/>
          <w:color w:val="000000"/>
          <w:szCs w:val="21"/>
        </w:rPr>
        <w:t>6.2 对发生的设备损坏事故，除国家已有规定的以外，由甲乙双方共同进行调查，必要时可请上级主管部门或专业机构鉴定。</w:t>
      </w:r>
    </w:p>
    <w:p w14:paraId="5BCE7A3D">
      <w:pPr>
        <w:adjustRightInd w:val="0"/>
        <w:snapToGrid w:val="0"/>
        <w:spacing w:line="360" w:lineRule="auto"/>
        <w:ind w:left="0" w:firstLine="566" w:firstLineChars="236"/>
        <w:rPr>
          <w:rFonts w:ascii="宋体" w:hAnsi="宋体"/>
          <w:color w:val="000000"/>
          <w:szCs w:val="21"/>
        </w:rPr>
      </w:pPr>
      <w:r>
        <w:rPr>
          <w:rFonts w:hint="eastAsia" w:ascii="宋体" w:hAnsi="宋体"/>
          <w:color w:val="000000"/>
          <w:szCs w:val="21"/>
        </w:rPr>
        <w:t>6.3 发生人身伤亡事故、人员中毒事故、火灾事故、环境保护等各种事故，甲乙双方应按国务院《生产安全事故报告和调查处理条例》的规定，分别进行统计上报，对甲方所在地政府部门的事故报告由甲方负责。</w:t>
      </w:r>
    </w:p>
    <w:p w14:paraId="52EDF595">
      <w:pPr>
        <w:adjustRightInd w:val="0"/>
        <w:snapToGrid w:val="0"/>
        <w:spacing w:before="156" w:beforeLines="50" w:line="360" w:lineRule="auto"/>
        <w:rPr>
          <w:rFonts w:ascii="宋体" w:hAnsi="宋体"/>
          <w:b/>
          <w:color w:val="000000"/>
          <w:szCs w:val="21"/>
        </w:rPr>
      </w:pPr>
      <w:r>
        <w:rPr>
          <w:rFonts w:hint="eastAsia" w:ascii="宋体" w:hAnsi="宋体"/>
          <w:b/>
          <w:color w:val="000000"/>
          <w:szCs w:val="21"/>
        </w:rPr>
        <w:t>7 其它</w:t>
      </w:r>
    </w:p>
    <w:p w14:paraId="65AB2460">
      <w:pPr>
        <w:adjustRightInd w:val="0"/>
        <w:snapToGrid w:val="0"/>
        <w:spacing w:line="360" w:lineRule="auto"/>
        <w:ind w:left="0" w:firstLine="480" w:firstLineChars="200"/>
        <w:rPr>
          <w:rFonts w:ascii="宋体" w:hAnsi="宋体"/>
          <w:color w:val="000000"/>
          <w:szCs w:val="21"/>
        </w:rPr>
      </w:pPr>
      <w:r>
        <w:rPr>
          <w:rFonts w:hint="eastAsia" w:ascii="宋体" w:hAnsi="宋体"/>
          <w:color w:val="000000"/>
          <w:szCs w:val="21"/>
        </w:rPr>
        <w:t>7.1 乙方应签署《安健环承诺书》，具体内容作为本协议不可分割的一部分，必须得到完全响应。</w:t>
      </w:r>
    </w:p>
    <w:p w14:paraId="07F65EBA">
      <w:pPr>
        <w:adjustRightInd w:val="0"/>
        <w:snapToGrid w:val="0"/>
        <w:spacing w:line="360" w:lineRule="auto"/>
        <w:ind w:left="0" w:firstLine="480" w:firstLineChars="200"/>
        <w:rPr>
          <w:rFonts w:ascii="宋体" w:hAnsi="宋体"/>
          <w:color w:val="000000"/>
          <w:szCs w:val="21"/>
        </w:rPr>
      </w:pPr>
      <w:r>
        <w:rPr>
          <w:rFonts w:hint="eastAsia" w:ascii="宋体" w:hAnsi="宋体"/>
          <w:color w:val="000000"/>
          <w:szCs w:val="21"/>
        </w:rPr>
        <w:t>7.2 本协议经订立协议单位双方签字、盖章有效、作为工程（商务）合同正本的附件。</w:t>
      </w:r>
    </w:p>
    <w:p w14:paraId="17FA18A0">
      <w:pPr>
        <w:adjustRightInd w:val="0"/>
        <w:snapToGrid w:val="0"/>
        <w:spacing w:line="360" w:lineRule="auto"/>
        <w:ind w:left="0" w:firstLine="480" w:firstLineChars="200"/>
        <w:rPr>
          <w:rFonts w:ascii="宋体" w:hAnsi="宋体"/>
          <w:color w:val="000000"/>
          <w:szCs w:val="21"/>
        </w:rPr>
      </w:pPr>
      <w:r>
        <w:rPr>
          <w:rFonts w:hint="eastAsia" w:ascii="宋体" w:hAnsi="宋体"/>
          <w:color w:val="000000"/>
          <w:szCs w:val="21"/>
        </w:rPr>
        <w:t>7.3 本协议同工程（商务）合同同时生效，甲乙双方必须严格执行，由于违反本协议造成的伤亡事故，由违约方承担一切经济损失。</w:t>
      </w:r>
    </w:p>
    <w:p w14:paraId="54669243">
      <w:pPr>
        <w:adjustRightInd w:val="0"/>
        <w:snapToGrid w:val="0"/>
        <w:spacing w:line="360" w:lineRule="auto"/>
        <w:ind w:left="0" w:firstLine="480" w:firstLineChars="200"/>
        <w:rPr>
          <w:rFonts w:ascii="宋体" w:hAnsi="宋体"/>
          <w:color w:val="000000"/>
          <w:szCs w:val="21"/>
        </w:rPr>
      </w:pPr>
      <w:r>
        <w:rPr>
          <w:rFonts w:hint="eastAsia" w:ascii="宋体" w:hAnsi="宋体"/>
          <w:color w:val="000000"/>
          <w:szCs w:val="21"/>
        </w:rPr>
        <w:t>7.4 如乙方严重违反本协议规定，甲方有权立即终止本协议以及相应合同，并且不承担任何责任。</w:t>
      </w:r>
    </w:p>
    <w:p w14:paraId="7108D7DC">
      <w:pPr>
        <w:adjustRightInd w:val="0"/>
        <w:snapToGrid w:val="0"/>
        <w:spacing w:line="360" w:lineRule="auto"/>
        <w:ind w:left="0" w:firstLine="480" w:firstLineChars="200"/>
        <w:rPr>
          <w:rFonts w:ascii="宋体" w:hAnsi="宋体"/>
          <w:color w:val="000000"/>
          <w:szCs w:val="21"/>
        </w:rPr>
      </w:pPr>
      <w:r>
        <w:rPr>
          <w:rFonts w:hint="eastAsia" w:ascii="宋体" w:hAnsi="宋体"/>
          <w:color w:val="000000"/>
          <w:szCs w:val="21"/>
        </w:rPr>
        <w:t>7.5 本协议适用于订立协议单位双方，如遇有与国家和地方法规不符者按照国家和地方法规执行。</w:t>
      </w:r>
    </w:p>
    <w:p w14:paraId="3EE804DE">
      <w:pPr>
        <w:adjustRightInd w:val="0"/>
        <w:snapToGrid w:val="0"/>
        <w:spacing w:line="360" w:lineRule="auto"/>
        <w:ind w:left="0" w:firstLine="480" w:firstLineChars="200"/>
        <w:rPr>
          <w:rFonts w:ascii="宋体" w:hAnsi="宋体"/>
          <w:color w:val="000000"/>
          <w:szCs w:val="21"/>
        </w:rPr>
      </w:pPr>
      <w:r>
        <w:rPr>
          <w:rFonts w:hint="eastAsia" w:ascii="宋体" w:hAnsi="宋体"/>
          <w:color w:val="000000"/>
          <w:szCs w:val="21"/>
        </w:rPr>
        <w:t>7.6 本协议未明确部分以甲方E</w:t>
      </w:r>
      <w:r>
        <w:rPr>
          <w:rFonts w:ascii="宋体" w:hAnsi="宋体"/>
          <w:color w:val="000000"/>
          <w:szCs w:val="21"/>
        </w:rPr>
        <w:t>HS</w:t>
      </w:r>
      <w:r>
        <w:rPr>
          <w:rFonts w:hint="eastAsia" w:ascii="宋体" w:hAnsi="宋体"/>
          <w:color w:val="000000"/>
          <w:szCs w:val="21"/>
        </w:rPr>
        <w:t>管理制度为准。</w:t>
      </w:r>
    </w:p>
    <w:p w14:paraId="3A4F69B4">
      <w:pPr>
        <w:adjustRightInd w:val="0"/>
        <w:snapToGrid w:val="0"/>
        <w:spacing w:before="156" w:beforeLines="50" w:line="360" w:lineRule="auto"/>
        <w:rPr>
          <w:rFonts w:ascii="宋体" w:hAnsi="宋体"/>
          <w:b/>
          <w:color w:val="000000"/>
          <w:szCs w:val="21"/>
        </w:rPr>
      </w:pPr>
      <w:r>
        <w:rPr>
          <w:rFonts w:hint="eastAsia" w:ascii="宋体" w:hAnsi="宋体"/>
          <w:b/>
          <w:color w:val="000000"/>
          <w:szCs w:val="21"/>
        </w:rPr>
        <w:t>8.特殊说明</w:t>
      </w:r>
    </w:p>
    <w:p w14:paraId="4EAE3DA0">
      <w:pPr>
        <w:adjustRightInd w:val="0"/>
        <w:snapToGrid w:val="0"/>
        <w:spacing w:line="360" w:lineRule="auto"/>
        <w:ind w:left="142" w:firstLine="283" w:firstLineChars="118"/>
        <w:rPr>
          <w:rFonts w:ascii="宋体" w:hAnsi="宋体"/>
          <w:color w:val="000000"/>
          <w:szCs w:val="21"/>
        </w:rPr>
      </w:pPr>
      <w:r>
        <w:rPr>
          <w:rFonts w:hint="eastAsia" w:ascii="宋体" w:hAnsi="宋体"/>
          <w:color w:val="000000"/>
          <w:szCs w:val="21"/>
        </w:rPr>
        <w:t xml:space="preserve">  甲乙双方需针对本项目EHS协议需要特殊说明及重点EHS风险管控内容可附件说明。附件与本协议同等法律效力。</w:t>
      </w:r>
    </w:p>
    <w:p w14:paraId="4E8718AA">
      <w:pPr>
        <w:adjustRightInd w:val="0"/>
        <w:snapToGrid w:val="0"/>
        <w:spacing w:line="276" w:lineRule="auto"/>
        <w:ind w:left="0" w:firstLine="426" w:firstLineChars="177"/>
        <w:rPr>
          <w:rFonts w:ascii="宋体" w:hAnsi="宋体"/>
          <w:b/>
          <w:color w:val="000000"/>
          <w:szCs w:val="21"/>
        </w:rPr>
      </w:pPr>
      <w:r>
        <w:rPr>
          <w:rFonts w:hint="eastAsia" w:ascii="宋体" w:hAnsi="宋体"/>
          <w:b/>
          <w:color w:val="000000"/>
          <w:szCs w:val="21"/>
        </w:rPr>
        <w:t>甲方： 沧州华润热电有限公司         乙方：</w:t>
      </w:r>
    </w:p>
    <w:p w14:paraId="25E92E60">
      <w:pPr>
        <w:adjustRightInd w:val="0"/>
        <w:snapToGrid w:val="0"/>
        <w:spacing w:line="276" w:lineRule="auto"/>
        <w:ind w:left="0" w:firstLine="426" w:firstLineChars="177"/>
        <w:rPr>
          <w:rFonts w:ascii="宋体" w:hAnsi="宋体"/>
          <w:b/>
          <w:color w:val="000000"/>
          <w:szCs w:val="21"/>
        </w:rPr>
      </w:pPr>
      <w:r>
        <w:rPr>
          <w:rFonts w:ascii="宋体" w:hAnsi="宋体"/>
          <w:b/>
          <w:color w:val="000000"/>
          <w:szCs w:val="21"/>
        </w:rPr>
        <w:t xml:space="preserve">      </w:t>
      </w:r>
      <w:r>
        <w:rPr>
          <w:rFonts w:hint="eastAsia" w:ascii="宋体" w:hAnsi="宋体"/>
          <w:b/>
          <w:color w:val="000000"/>
          <w:szCs w:val="21"/>
        </w:rPr>
        <w:t xml:space="preserve">（盖章）   </w:t>
      </w:r>
      <w:r>
        <w:rPr>
          <w:rFonts w:ascii="宋体" w:hAnsi="宋体"/>
          <w:b/>
          <w:color w:val="000000"/>
          <w:szCs w:val="21"/>
        </w:rPr>
        <w:t xml:space="preserve">        </w:t>
      </w:r>
      <w:r>
        <w:rPr>
          <w:rFonts w:hint="eastAsia" w:ascii="宋体" w:hAnsi="宋体"/>
          <w:b/>
          <w:color w:val="000000"/>
          <w:szCs w:val="21"/>
        </w:rPr>
        <w:t xml:space="preserve"> </w:t>
      </w:r>
      <w:r>
        <w:rPr>
          <w:rFonts w:ascii="宋体" w:hAnsi="宋体"/>
          <w:b/>
          <w:color w:val="000000"/>
          <w:szCs w:val="21"/>
        </w:rPr>
        <w:t xml:space="preserve">              </w:t>
      </w:r>
      <w:r>
        <w:rPr>
          <w:rFonts w:hint="eastAsia" w:ascii="宋体" w:hAnsi="宋体"/>
          <w:b/>
          <w:color w:val="000000"/>
          <w:szCs w:val="21"/>
        </w:rPr>
        <w:t>（盖章）</w:t>
      </w:r>
    </w:p>
    <w:p w14:paraId="0074116D">
      <w:pPr>
        <w:adjustRightInd w:val="0"/>
        <w:snapToGrid w:val="0"/>
        <w:spacing w:line="276" w:lineRule="auto"/>
        <w:ind w:left="0" w:firstLine="426" w:firstLineChars="177"/>
        <w:rPr>
          <w:rFonts w:ascii="宋体" w:hAnsi="宋体"/>
          <w:b/>
          <w:color w:val="000000"/>
          <w:szCs w:val="21"/>
        </w:rPr>
      </w:pPr>
    </w:p>
    <w:p w14:paraId="2A7B7117">
      <w:pPr>
        <w:adjustRightInd w:val="0"/>
        <w:snapToGrid w:val="0"/>
        <w:spacing w:line="276" w:lineRule="auto"/>
        <w:ind w:left="0" w:firstLine="426" w:firstLineChars="177"/>
        <w:rPr>
          <w:rFonts w:ascii="宋体" w:hAnsi="宋体"/>
          <w:b/>
          <w:color w:val="000000"/>
          <w:szCs w:val="21"/>
        </w:rPr>
      </w:pPr>
      <w:r>
        <w:rPr>
          <w:rFonts w:hint="eastAsia" w:ascii="宋体" w:hAnsi="宋体"/>
          <w:b/>
          <w:color w:val="000000"/>
          <w:szCs w:val="21"/>
        </w:rPr>
        <w:t xml:space="preserve">授权代表人：         （签字）   </w:t>
      </w:r>
      <w:r>
        <w:rPr>
          <w:rFonts w:ascii="宋体" w:hAnsi="宋体"/>
          <w:b/>
          <w:color w:val="000000"/>
          <w:szCs w:val="21"/>
        </w:rPr>
        <w:t xml:space="preserve">   </w:t>
      </w:r>
      <w:r>
        <w:rPr>
          <w:rFonts w:hint="eastAsia" w:ascii="宋体" w:hAnsi="宋体"/>
          <w:b/>
          <w:color w:val="000000"/>
          <w:szCs w:val="21"/>
        </w:rPr>
        <w:t>授权代表人：</w:t>
      </w:r>
      <w:r>
        <w:rPr>
          <w:rFonts w:ascii="宋体" w:hAnsi="宋体"/>
          <w:b/>
          <w:color w:val="000000"/>
          <w:szCs w:val="21"/>
        </w:rPr>
        <w:t xml:space="preserve">          </w:t>
      </w:r>
      <w:r>
        <w:rPr>
          <w:rFonts w:hint="eastAsia" w:ascii="宋体" w:hAnsi="宋体"/>
          <w:b/>
          <w:color w:val="000000"/>
          <w:szCs w:val="21"/>
        </w:rPr>
        <w:t>（签字）</w:t>
      </w:r>
    </w:p>
    <w:p w14:paraId="45D5F321">
      <w:pPr>
        <w:adjustRightInd w:val="0"/>
        <w:snapToGrid w:val="0"/>
        <w:spacing w:line="276" w:lineRule="auto"/>
        <w:ind w:left="0" w:firstLine="426" w:firstLineChars="177"/>
        <w:rPr>
          <w:rFonts w:ascii="宋体" w:hAnsi="宋体"/>
          <w:b/>
          <w:color w:val="000000"/>
          <w:szCs w:val="21"/>
        </w:rPr>
      </w:pPr>
    </w:p>
    <w:p w14:paraId="0786C072">
      <w:pPr>
        <w:adjustRightInd w:val="0"/>
        <w:snapToGrid w:val="0"/>
        <w:spacing w:line="276" w:lineRule="auto"/>
        <w:ind w:left="0" w:firstLine="426" w:firstLineChars="177"/>
        <w:rPr>
          <w:rFonts w:ascii="宋体" w:hAnsi="宋体"/>
          <w:b/>
          <w:color w:val="000000"/>
          <w:szCs w:val="21"/>
        </w:rPr>
      </w:pPr>
      <w:r>
        <w:rPr>
          <w:rFonts w:hint="eastAsia" w:ascii="宋体" w:hAnsi="宋体"/>
          <w:b/>
          <w:color w:val="000000"/>
          <w:szCs w:val="21"/>
        </w:rPr>
        <w:t>地 址：                            地 址：</w:t>
      </w:r>
    </w:p>
    <w:p w14:paraId="7685A20C">
      <w:pPr>
        <w:adjustRightInd w:val="0"/>
        <w:snapToGrid w:val="0"/>
        <w:spacing w:line="276" w:lineRule="auto"/>
        <w:ind w:left="0" w:firstLine="426" w:firstLineChars="177"/>
        <w:rPr>
          <w:rFonts w:ascii="宋体" w:hAnsi="宋体"/>
          <w:b/>
          <w:color w:val="000000"/>
          <w:szCs w:val="21"/>
        </w:rPr>
      </w:pPr>
    </w:p>
    <w:p w14:paraId="364B8C21">
      <w:pPr>
        <w:adjustRightInd w:val="0"/>
        <w:snapToGrid w:val="0"/>
        <w:spacing w:line="276" w:lineRule="auto"/>
        <w:ind w:left="0" w:firstLine="426" w:firstLineChars="177"/>
        <w:rPr>
          <w:rFonts w:ascii="宋体" w:hAnsi="宋体"/>
          <w:b/>
          <w:color w:val="000000"/>
          <w:szCs w:val="21"/>
        </w:rPr>
      </w:pPr>
      <w:r>
        <w:rPr>
          <w:rFonts w:hint="eastAsia" w:ascii="宋体" w:hAnsi="宋体"/>
          <w:b/>
          <w:color w:val="000000"/>
          <w:szCs w:val="21"/>
        </w:rPr>
        <w:t>电 话：                            电 话：</w:t>
      </w:r>
    </w:p>
    <w:p w14:paraId="64D73EBE">
      <w:pPr>
        <w:adjustRightInd w:val="0"/>
        <w:snapToGrid w:val="0"/>
        <w:spacing w:line="276" w:lineRule="auto"/>
        <w:ind w:left="0" w:firstLine="426" w:firstLineChars="177"/>
        <w:rPr>
          <w:rFonts w:ascii="宋体" w:hAnsi="宋体"/>
          <w:b/>
          <w:color w:val="000000"/>
          <w:szCs w:val="21"/>
        </w:rPr>
      </w:pPr>
    </w:p>
    <w:p w14:paraId="0D69D4BA">
      <w:pPr>
        <w:adjustRightInd w:val="0"/>
        <w:snapToGrid w:val="0"/>
        <w:spacing w:line="276" w:lineRule="auto"/>
        <w:ind w:left="0" w:firstLine="426" w:firstLineChars="177"/>
        <w:rPr>
          <w:rFonts w:ascii="宋体" w:hAnsi="宋体"/>
          <w:b/>
          <w:szCs w:val="21"/>
        </w:rPr>
      </w:pPr>
      <w:r>
        <w:rPr>
          <w:rFonts w:hint="eastAsia" w:ascii="宋体" w:hAnsi="宋体"/>
          <w:b/>
          <w:color w:val="000000"/>
          <w:szCs w:val="21"/>
        </w:rPr>
        <w:t>日 期：                            日 期：</w:t>
      </w:r>
    </w:p>
    <w:p w14:paraId="6BED383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165592"/>
      <w:docPartObj>
        <w:docPartGallery w:val="AutoText"/>
      </w:docPartObj>
    </w:sdtPr>
    <w:sdtContent>
      <w:sdt>
        <w:sdtPr>
          <w:id w:val="-1769616900"/>
          <w:docPartObj>
            <w:docPartGallery w:val="AutoText"/>
          </w:docPartObj>
        </w:sdtPr>
        <w:sdtContent>
          <w:p w14:paraId="5FC888B0">
            <w:pPr>
              <w:pStyle w:val="3"/>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288102A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C1CA3"/>
    <w:multiLevelType w:val="multilevel"/>
    <w:tmpl w:val="003C1CA3"/>
    <w:lvl w:ilvl="0" w:tentative="0">
      <w:start w:val="1"/>
      <w:numFmt w:val="decimal"/>
      <w:lvlText w:val="3.1.9.%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11AC3532"/>
    <w:multiLevelType w:val="multilevel"/>
    <w:tmpl w:val="11AC3532"/>
    <w:lvl w:ilvl="0" w:tentative="0">
      <w:start w:val="1"/>
      <w:numFmt w:val="decimal"/>
      <w:lvlText w:val="3.3.%1"/>
      <w:lvlJc w:val="left"/>
      <w:pPr>
        <w:ind w:left="840" w:hanging="420"/>
      </w:pPr>
      <w:rPr>
        <w:rFonts w:hint="eastAsia"/>
      </w:rPr>
    </w:lvl>
    <w:lvl w:ilvl="1" w:tentative="0">
      <w:start w:val="1"/>
      <w:numFmt w:val="decimal"/>
      <w:lvlText w:val="3.3.%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D7DB3"/>
    <w:multiLevelType w:val="multilevel"/>
    <w:tmpl w:val="29AD7DB3"/>
    <w:lvl w:ilvl="0" w:tentative="0">
      <w:start w:val="1"/>
      <w:numFmt w:val="decimal"/>
      <w:lvlText w:val="3.2.%1"/>
      <w:lvlJc w:val="left"/>
      <w:pPr>
        <w:ind w:left="840" w:hanging="420"/>
      </w:pPr>
      <w:rPr>
        <w:rFonts w:hint="eastAsia"/>
      </w:rPr>
    </w:lvl>
    <w:lvl w:ilvl="1" w:tentative="0">
      <w:start w:val="1"/>
      <w:numFmt w:val="decimal"/>
      <w:lvlText w:val="3.2.%2"/>
      <w:lvlJc w:val="left"/>
      <w:pPr>
        <w:ind w:left="113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5B1261"/>
    <w:multiLevelType w:val="multilevel"/>
    <w:tmpl w:val="325B1261"/>
    <w:lvl w:ilvl="0" w:tentative="0">
      <w:start w:val="1"/>
      <w:numFmt w:val="decimal"/>
      <w:lvlText w:val="4.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4">
    <w:nsid w:val="35D02597"/>
    <w:multiLevelType w:val="multilevel"/>
    <w:tmpl w:val="35D02597"/>
    <w:lvl w:ilvl="0" w:tentative="0">
      <w:start w:val="1"/>
      <w:numFmt w:val="decimal"/>
      <w:lvlText w:val="5.1.%1"/>
      <w:lvlJc w:val="left"/>
      <w:pPr>
        <w:ind w:left="1260" w:hanging="420"/>
      </w:pPr>
      <w:rPr>
        <w:rFonts w:hint="eastAsia"/>
      </w:rPr>
    </w:lvl>
    <w:lvl w:ilvl="1" w:tentative="0">
      <w:start w:val="1"/>
      <w:numFmt w:val="decimal"/>
      <w:lvlText w:val="5.1.%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4F3A99"/>
    <w:multiLevelType w:val="multilevel"/>
    <w:tmpl w:val="414F3A99"/>
    <w:lvl w:ilvl="0" w:tentative="0">
      <w:start w:val="1"/>
      <w:numFmt w:val="decimal"/>
      <w:lvlText w:val="4.2.%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42FC7F92"/>
    <w:multiLevelType w:val="multilevel"/>
    <w:tmpl w:val="42FC7F92"/>
    <w:lvl w:ilvl="0" w:tentative="0">
      <w:start w:val="1"/>
      <w:numFmt w:val="decimal"/>
      <w:lvlText w:val="5.2.%1"/>
      <w:lvlJc w:val="left"/>
      <w:pPr>
        <w:ind w:left="900" w:hanging="420"/>
      </w:pPr>
      <w:rPr>
        <w:rFonts w:hint="eastAsia"/>
      </w:rPr>
    </w:lvl>
    <w:lvl w:ilvl="1" w:tentative="0">
      <w:start w:val="1"/>
      <w:numFmt w:val="decimal"/>
      <w:lvlText w:val="5.2.%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C2B0989"/>
    <w:multiLevelType w:val="multilevel"/>
    <w:tmpl w:val="6C2B0989"/>
    <w:lvl w:ilvl="0" w:tentative="0">
      <w:start w:val="1"/>
      <w:numFmt w:val="decimal"/>
      <w:lvlText w:val="3.1.%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6D6919E0"/>
    <w:multiLevelType w:val="multilevel"/>
    <w:tmpl w:val="6D6919E0"/>
    <w:lvl w:ilvl="0" w:tentative="0">
      <w:start w:val="1"/>
      <w:numFmt w:val="decimal"/>
      <w:lvlText w:val="5.%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75E76528"/>
    <w:multiLevelType w:val="multilevel"/>
    <w:tmpl w:val="75E76528"/>
    <w:lvl w:ilvl="0" w:tentative="0">
      <w:start w:val="1"/>
      <w:numFmt w:val="decimal"/>
      <w:lvlText w:val="3.4.%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7D4E5DE4"/>
    <w:multiLevelType w:val="multilevel"/>
    <w:tmpl w:val="7D4E5DE4"/>
    <w:lvl w:ilvl="0" w:tentative="0">
      <w:start w:val="1"/>
      <w:numFmt w:val="decimal"/>
      <w:lvlText w:val="%1"/>
      <w:lvlJc w:val="left"/>
      <w:pPr>
        <w:ind w:left="480" w:hanging="480"/>
      </w:pPr>
      <w:rPr>
        <w:rFonts w:hint="default"/>
        <w:u w:val="none"/>
      </w:rPr>
    </w:lvl>
    <w:lvl w:ilvl="1" w:tentative="0">
      <w:start w:val="1"/>
      <w:numFmt w:val="decimal"/>
      <w:lvlText w:val="%1.%2"/>
      <w:lvlJc w:val="left"/>
      <w:pPr>
        <w:ind w:left="1144" w:hanging="720"/>
      </w:pPr>
      <w:rPr>
        <w:rFonts w:hint="default"/>
        <w:u w:val="none"/>
      </w:rPr>
    </w:lvl>
    <w:lvl w:ilvl="2" w:tentative="0">
      <w:start w:val="1"/>
      <w:numFmt w:val="decimal"/>
      <w:lvlText w:val="%1.%2.%3"/>
      <w:lvlJc w:val="left"/>
      <w:pPr>
        <w:ind w:left="1568" w:hanging="720"/>
      </w:pPr>
      <w:rPr>
        <w:rFonts w:hint="default"/>
        <w:u w:val="none"/>
      </w:rPr>
    </w:lvl>
    <w:lvl w:ilvl="3" w:tentative="0">
      <w:start w:val="1"/>
      <w:numFmt w:val="decimal"/>
      <w:lvlText w:val="%1.%2.%3.%4"/>
      <w:lvlJc w:val="left"/>
      <w:pPr>
        <w:ind w:left="2352" w:hanging="1080"/>
      </w:pPr>
      <w:rPr>
        <w:rFonts w:hint="default"/>
        <w:u w:val="none"/>
      </w:rPr>
    </w:lvl>
    <w:lvl w:ilvl="4" w:tentative="0">
      <w:start w:val="1"/>
      <w:numFmt w:val="decimal"/>
      <w:lvlText w:val="%1.%2.%3.%4.%5"/>
      <w:lvlJc w:val="left"/>
      <w:pPr>
        <w:ind w:left="3136" w:hanging="1440"/>
      </w:pPr>
      <w:rPr>
        <w:rFonts w:hint="default"/>
        <w:u w:val="none"/>
      </w:rPr>
    </w:lvl>
    <w:lvl w:ilvl="5" w:tentative="0">
      <w:start w:val="1"/>
      <w:numFmt w:val="decimal"/>
      <w:lvlText w:val="%1.%2.%3.%4.%5.%6"/>
      <w:lvlJc w:val="left"/>
      <w:pPr>
        <w:ind w:left="3560" w:hanging="1440"/>
      </w:pPr>
      <w:rPr>
        <w:rFonts w:hint="default"/>
        <w:u w:val="none"/>
      </w:rPr>
    </w:lvl>
    <w:lvl w:ilvl="6" w:tentative="0">
      <w:start w:val="1"/>
      <w:numFmt w:val="decimal"/>
      <w:lvlText w:val="%1.%2.%3.%4.%5.%6.%7"/>
      <w:lvlJc w:val="left"/>
      <w:pPr>
        <w:ind w:left="4344" w:hanging="1800"/>
      </w:pPr>
      <w:rPr>
        <w:rFonts w:hint="default"/>
        <w:u w:val="none"/>
      </w:rPr>
    </w:lvl>
    <w:lvl w:ilvl="7" w:tentative="0">
      <w:start w:val="1"/>
      <w:numFmt w:val="decimal"/>
      <w:lvlText w:val="%1.%2.%3.%4.%5.%6.%7.%8"/>
      <w:lvlJc w:val="left"/>
      <w:pPr>
        <w:ind w:left="5128" w:hanging="2160"/>
      </w:pPr>
      <w:rPr>
        <w:rFonts w:hint="default"/>
        <w:u w:val="none"/>
      </w:rPr>
    </w:lvl>
    <w:lvl w:ilvl="8" w:tentative="0">
      <w:start w:val="1"/>
      <w:numFmt w:val="decimal"/>
      <w:lvlText w:val="%1.%2.%3.%4.%5.%6.%7.%8.%9"/>
      <w:lvlJc w:val="left"/>
      <w:pPr>
        <w:ind w:left="5552" w:hanging="2160"/>
      </w:pPr>
      <w:rPr>
        <w:rFonts w:hint="default"/>
        <w:u w:val="none"/>
      </w:rPr>
    </w:lvl>
  </w:abstractNum>
  <w:num w:numId="1">
    <w:abstractNumId w:val="10"/>
  </w:num>
  <w:num w:numId="2">
    <w:abstractNumId w:val="7"/>
  </w:num>
  <w:num w:numId="3">
    <w:abstractNumId w:val="0"/>
  </w:num>
  <w:num w:numId="4">
    <w:abstractNumId w:val="2"/>
  </w:num>
  <w:num w:numId="5">
    <w:abstractNumId w:val="1"/>
  </w:num>
  <w:num w:numId="6">
    <w:abstractNumId w:val="9"/>
  </w:num>
  <w:num w:numId="7">
    <w:abstractNumId w:val="5"/>
  </w:num>
  <w:num w:numId="8">
    <w:abstractNumId w:val="3"/>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VmY2Q1N2ZhMDZjMDBiOWRkNDA5OWI3OTI5MjdhYzIifQ=="/>
  </w:docVars>
  <w:rsids>
    <w:rsidRoot w:val="00476510"/>
    <w:rsid w:val="0003189B"/>
    <w:rsid w:val="00050CDA"/>
    <w:rsid w:val="00053291"/>
    <w:rsid w:val="00065CFA"/>
    <w:rsid w:val="0007001E"/>
    <w:rsid w:val="000843FD"/>
    <w:rsid w:val="000D768E"/>
    <w:rsid w:val="000E126A"/>
    <w:rsid w:val="000E2C3E"/>
    <w:rsid w:val="00117D28"/>
    <w:rsid w:val="00131739"/>
    <w:rsid w:val="00146AD0"/>
    <w:rsid w:val="00151E6A"/>
    <w:rsid w:val="00155F22"/>
    <w:rsid w:val="00187883"/>
    <w:rsid w:val="0019111D"/>
    <w:rsid w:val="001C32F9"/>
    <w:rsid w:val="001F1CFC"/>
    <w:rsid w:val="001F1D5F"/>
    <w:rsid w:val="001F4E22"/>
    <w:rsid w:val="00261EE3"/>
    <w:rsid w:val="002A4939"/>
    <w:rsid w:val="002A72FD"/>
    <w:rsid w:val="003437D3"/>
    <w:rsid w:val="00344702"/>
    <w:rsid w:val="00354D84"/>
    <w:rsid w:val="003665FE"/>
    <w:rsid w:val="00382055"/>
    <w:rsid w:val="00383F7F"/>
    <w:rsid w:val="003B45B0"/>
    <w:rsid w:val="003D0CBA"/>
    <w:rsid w:val="00401612"/>
    <w:rsid w:val="0040220B"/>
    <w:rsid w:val="0041632B"/>
    <w:rsid w:val="00434E09"/>
    <w:rsid w:val="0044314D"/>
    <w:rsid w:val="00472F00"/>
    <w:rsid w:val="00476510"/>
    <w:rsid w:val="00483F28"/>
    <w:rsid w:val="004D0058"/>
    <w:rsid w:val="004D0243"/>
    <w:rsid w:val="004D0D31"/>
    <w:rsid w:val="004E31C3"/>
    <w:rsid w:val="004E6154"/>
    <w:rsid w:val="00523D59"/>
    <w:rsid w:val="00547C5A"/>
    <w:rsid w:val="0059146A"/>
    <w:rsid w:val="005974D4"/>
    <w:rsid w:val="005B63D8"/>
    <w:rsid w:val="005C309E"/>
    <w:rsid w:val="005C695F"/>
    <w:rsid w:val="005D37A3"/>
    <w:rsid w:val="005D5DCF"/>
    <w:rsid w:val="0061538C"/>
    <w:rsid w:val="00617C6E"/>
    <w:rsid w:val="00646165"/>
    <w:rsid w:val="00647749"/>
    <w:rsid w:val="00693D8D"/>
    <w:rsid w:val="006A200F"/>
    <w:rsid w:val="006B23B6"/>
    <w:rsid w:val="0070104F"/>
    <w:rsid w:val="0072752A"/>
    <w:rsid w:val="007C7ADE"/>
    <w:rsid w:val="007F3680"/>
    <w:rsid w:val="007F6659"/>
    <w:rsid w:val="00820CB3"/>
    <w:rsid w:val="00854941"/>
    <w:rsid w:val="00866FCD"/>
    <w:rsid w:val="00892C0A"/>
    <w:rsid w:val="008A7177"/>
    <w:rsid w:val="008C6C9F"/>
    <w:rsid w:val="0097526E"/>
    <w:rsid w:val="009B6C40"/>
    <w:rsid w:val="009F184D"/>
    <w:rsid w:val="00A4426F"/>
    <w:rsid w:val="00AA3A45"/>
    <w:rsid w:val="00AB0EEB"/>
    <w:rsid w:val="00AC4E1C"/>
    <w:rsid w:val="00AC7B58"/>
    <w:rsid w:val="00AE31EB"/>
    <w:rsid w:val="00AE33C7"/>
    <w:rsid w:val="00B04225"/>
    <w:rsid w:val="00B0737E"/>
    <w:rsid w:val="00B425AA"/>
    <w:rsid w:val="00B43010"/>
    <w:rsid w:val="00B459E6"/>
    <w:rsid w:val="00BC11BA"/>
    <w:rsid w:val="00BD5892"/>
    <w:rsid w:val="00C56BD3"/>
    <w:rsid w:val="00C74775"/>
    <w:rsid w:val="00C834E1"/>
    <w:rsid w:val="00CA2437"/>
    <w:rsid w:val="00CB7F10"/>
    <w:rsid w:val="00D0098C"/>
    <w:rsid w:val="00D057F5"/>
    <w:rsid w:val="00D2189C"/>
    <w:rsid w:val="00D57D1D"/>
    <w:rsid w:val="00D97DCA"/>
    <w:rsid w:val="00E4294A"/>
    <w:rsid w:val="00E82311"/>
    <w:rsid w:val="00EC4EC5"/>
    <w:rsid w:val="00EF37C3"/>
    <w:rsid w:val="00F12752"/>
    <w:rsid w:val="00F25D6D"/>
    <w:rsid w:val="00F3321C"/>
    <w:rsid w:val="00F346B6"/>
    <w:rsid w:val="00F35B33"/>
    <w:rsid w:val="00FB3D71"/>
    <w:rsid w:val="00FB48F3"/>
    <w:rsid w:val="00FC1479"/>
    <w:rsid w:val="00FC4274"/>
    <w:rsid w:val="00FE6C1B"/>
    <w:rsid w:val="337D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425"/>
      <w:jc w:val="both"/>
    </w:pPr>
    <w:rPr>
      <w:rFonts w:ascii="Calibri" w:hAnsi="Calibri" w:eastAsia="宋体" w:cs="Times New Roman"/>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left="720"/>
      <w:contextualSpacing/>
    </w:pPr>
  </w:style>
  <w:style w:type="character" w:customStyle="1" w:styleId="8">
    <w:name w:val="日期 字符"/>
    <w:basedOn w:val="6"/>
    <w:link w:val="2"/>
    <w:semiHidden/>
    <w:qFormat/>
    <w:uiPriority w:val="99"/>
    <w:rPr>
      <w:rFonts w:ascii="Calibri" w:hAnsi="Calibri" w:eastAsia="宋体" w:cs="Times New Roman"/>
      <w:kern w:val="0"/>
      <w:sz w:val="24"/>
      <w:szCs w:val="24"/>
    </w:rPr>
  </w:style>
  <w:style w:type="character" w:customStyle="1" w:styleId="9">
    <w:name w:val="页眉 字符"/>
    <w:basedOn w:val="6"/>
    <w:link w:val="4"/>
    <w:qFormat/>
    <w:uiPriority w:val="99"/>
    <w:rPr>
      <w:rFonts w:ascii="Calibri" w:hAnsi="Calibri" w:eastAsia="宋体" w:cs="Times New Roman"/>
      <w:kern w:val="0"/>
      <w:sz w:val="18"/>
      <w:szCs w:val="18"/>
    </w:rPr>
  </w:style>
  <w:style w:type="character" w:customStyle="1" w:styleId="10">
    <w:name w:val="页脚 字符"/>
    <w:basedOn w:val="6"/>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7839</Words>
  <Characters>7985</Characters>
  <Lines>60</Lines>
  <Paragraphs>16</Paragraphs>
  <TotalTime>2</TotalTime>
  <ScaleCrop>false</ScaleCrop>
  <LinksUpToDate>false</LinksUpToDate>
  <CharactersWithSpaces>8365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2022-08-09T08:47:00Z</dcterms:created>
  <dc:creator>王 安山</dc:creator>
  <cp:lastModifiedBy>光辉</cp:lastModifiedBy>
  <dcterms:modified xsi:type="dcterms:W3CDTF">2024-11-05T07:53:49Z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8B3352755E144A29AA8FEAF8D41DA822_12</vt:lpwstr>
  </property>
</Properties>
</file>