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法定代表人：刘柯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北京市丰台区南木樨园18号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sz w:val="24"/>
          <w:szCs w:val="24"/>
        </w:rPr>
        <w:t>北京沐海能源科技有限公司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法定代表人：李君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：北京市平谷区平谷镇迎宾花园3号楼1至3层111号-230681（集群注册）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日期：2023年7月17日              日期：2023年7月17日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7A0758C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