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2：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商务条款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一、合同期限及付款方式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依据现有军队现有社会化政策要求，首次签订合同期限为1年，后续根据实际情况续签，最长不超过三年。付款方式按照季度进行付款，由乙方出具增值税普通发票进行结算。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二、维保费包含的范围及价格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1.维保费包含在内的修理：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（1）分体空调的拆机、移机和维修产生的材料费、人工费全部包含在维保费内；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（2）风机盘管修理及更换产生的材料费、人工费全部包含在维保费内；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（3）排风机、补风机和排风扇修理及更换产生的材料费、人工费全部包含在维保费内；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（4）空调箱修理及更换产生的材料费、人工费全部包含在维保费内。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kern w:val="2"/>
          <w:sz w:val="32"/>
          <w:szCs w:val="32"/>
          <w:lang w:val="en-US" w:eastAsia="zh-CN" w:bidi="ar-SA"/>
        </w:rPr>
        <w:t>（5）室内空调调节开关修理及更换产生的材料费、人工费全部包含在维保费内。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2.不包含维保费内的修理：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除上述修理包含在维保费内，其他修理费另计。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发生紧急维修任务时，可先抢修，预留好修理凭证，后续出具正式报价（不得高于同地域和同时段的市场价格）和修理现场效果图。一般维修任务时，应事先向甲方报备，出具正式报价单和损毁图片，得到甲方认可后方可修理，所有的维修必须接受甲方指定的第三方公司进行价格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1C13"/>
    <w:rsid w:val="3133354A"/>
    <w:rsid w:val="674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Theme="majorEastAsia"/>
      <w:b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2023-04-03T06:53:00Z</dcterms:created>
  <dc:creator>doctor</dc:creator>
  <cp:lastModifiedBy>doctor</cp:lastModifiedBy>
  <dcterms:modified xsi:type="dcterms:W3CDTF">2023-05-05T07:49:05Z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1FAE7075398E4488AFF84E8BFD384491</vt:lpwstr>
  </property>
</Properties>
</file>