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jc w:val="center"/>
        <w:rPr>
          <w:sz w:val="32"/>
          <w:szCs w:val="32"/>
        </w:rPr>
      </w:pPr>
    </w:p>
    <w:p>
      <w:pPr>
        <w:tabs>
          <w:tab w:val="left" w:pos="1800"/>
        </w:tabs>
        <w:jc w:val="center"/>
        <w:rPr>
          <w:sz w:val="32"/>
          <w:szCs w:val="32"/>
        </w:rPr>
      </w:pPr>
    </w:p>
    <w:p>
      <w:pPr>
        <w:tabs>
          <w:tab w:val="left" w:pos="1800"/>
        </w:tabs>
        <w:jc w:val="center"/>
        <w:rPr>
          <w:sz w:val="32"/>
          <w:szCs w:val="32"/>
        </w:rPr>
      </w:pPr>
    </w:p>
    <w:p>
      <w:pPr>
        <w:tabs>
          <w:tab w:val="left" w:pos="1800"/>
        </w:tabs>
        <w:jc w:val="center"/>
        <w:rPr>
          <w:rStyle w:val="29"/>
          <w:rFonts w:hint="eastAsia" w:asciiTheme="minorEastAsia" w:hAnsiTheme="minorEastAsia" w:cstheme="minorEastAsia"/>
          <w:sz w:val="32"/>
          <w:szCs w:val="32"/>
          <w:lang w:val="en-US" w:eastAsia="zh-CN"/>
        </w:rPr>
      </w:pPr>
      <w:r>
        <w:rPr>
          <w:rStyle w:val="29"/>
          <w:rFonts w:hint="eastAsia" w:asciiTheme="minorEastAsia" w:hAnsiTheme="minorEastAsia" w:cstheme="minorEastAsia"/>
          <w:sz w:val="32"/>
          <w:szCs w:val="32"/>
          <w:lang w:val="en-US" w:eastAsia="zh-CN"/>
        </w:rPr>
        <w:t>北京华联银川悦海天地购物广场</w:t>
      </w:r>
    </w:p>
    <w:p>
      <w:pPr>
        <w:pStyle w:val="2"/>
        <w:rPr>
          <w:rFonts w:hint="default"/>
          <w:lang w:val="en-US"/>
        </w:rPr>
      </w:pPr>
    </w:p>
    <w:p>
      <w:pPr>
        <w:tabs>
          <w:tab w:val="left" w:pos="1800"/>
        </w:tabs>
        <w:jc w:val="center"/>
        <w:rPr>
          <w:rFonts w:hint="eastAsia" w:asciiTheme="minorEastAsia" w:hAnsiTheme="minorEastAsia" w:eastAsiaTheme="minorEastAsia" w:cstheme="minorEastAsia"/>
          <w:sz w:val="32"/>
          <w:szCs w:val="32"/>
        </w:rPr>
      </w:pPr>
      <w:r>
        <w:rPr>
          <w:rStyle w:val="29"/>
          <w:rFonts w:hint="eastAsia" w:asciiTheme="minorEastAsia" w:hAnsiTheme="minorEastAsia" w:cstheme="minorEastAsia"/>
          <w:sz w:val="32"/>
          <w:szCs w:val="32"/>
          <w:lang w:val="en-US" w:eastAsia="zh-CN"/>
        </w:rPr>
        <w:t>离心机和</w:t>
      </w:r>
      <w:r>
        <w:rPr>
          <w:rStyle w:val="29"/>
          <w:rFonts w:hint="eastAsia" w:asciiTheme="minorEastAsia" w:hAnsiTheme="minorEastAsia" w:eastAsiaTheme="minorEastAsia" w:cstheme="minorEastAsia"/>
          <w:sz w:val="32"/>
          <w:szCs w:val="32"/>
        </w:rPr>
        <w:t>螺杆机保养</w:t>
      </w:r>
      <w:r>
        <w:rPr>
          <w:rStyle w:val="29"/>
          <w:rFonts w:hint="eastAsia" w:asciiTheme="minorEastAsia" w:hAnsiTheme="minorEastAsia" w:cstheme="minorEastAsia"/>
          <w:sz w:val="32"/>
          <w:szCs w:val="32"/>
          <w:lang w:val="en-US" w:eastAsia="zh-CN"/>
        </w:rPr>
        <w:t>、清洗和水处理</w:t>
      </w:r>
      <w:r>
        <w:rPr>
          <w:rStyle w:val="29"/>
          <w:rFonts w:hint="eastAsia" w:asciiTheme="minorEastAsia" w:hAnsiTheme="minorEastAsia" w:eastAsiaTheme="minorEastAsia" w:cstheme="minorEastAsia"/>
          <w:sz w:val="32"/>
          <w:szCs w:val="32"/>
          <w:lang w:val="en-US" w:eastAsia="zh-CN"/>
        </w:rPr>
        <w:t>服务</w:t>
      </w:r>
      <w:r>
        <w:rPr>
          <w:rStyle w:val="29"/>
          <w:rFonts w:hint="eastAsia" w:asciiTheme="minorEastAsia" w:hAnsiTheme="minorEastAsia" w:eastAsiaTheme="minorEastAsia" w:cstheme="minorEastAsia"/>
          <w:sz w:val="32"/>
          <w:szCs w:val="32"/>
        </w:rPr>
        <w:t>方案和报价</w:t>
      </w:r>
    </w:p>
    <w:p>
      <w:pPr>
        <w:tabs>
          <w:tab w:val="left" w:pos="1800"/>
        </w:tabs>
        <w:jc w:val="center"/>
        <w:rPr>
          <w:rFonts w:asciiTheme="minorEastAsia" w:hAnsiTheme="minorEastAsia"/>
          <w:sz w:val="44"/>
          <w:szCs w:val="44"/>
        </w:rPr>
      </w:pPr>
    </w:p>
    <w:p>
      <w:pPr>
        <w:tabs>
          <w:tab w:val="left" w:pos="1800"/>
        </w:tabs>
        <w:rPr>
          <w:rFonts w:asciiTheme="minorEastAsia" w:hAnsiTheme="minorEastAsia"/>
          <w:szCs w:val="21"/>
        </w:rPr>
      </w:pPr>
      <w:r>
        <w:rPr>
          <w:rFonts w:hint="eastAsia" w:asciiTheme="minorEastAsia" w:hAnsiTheme="minorEastAsia"/>
          <w:szCs w:val="21"/>
        </w:rPr>
        <w:t xml:space="preserve">                                     </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jc w:val="center"/>
        <w:rPr>
          <w:rFonts w:asciiTheme="minorEastAsia" w:hAnsiTheme="minorEastAsia"/>
          <w:sz w:val="32"/>
          <w:szCs w:val="32"/>
        </w:rPr>
      </w:pPr>
      <w:r>
        <w:rPr>
          <w:rFonts w:hint="eastAsia" w:asciiTheme="minorEastAsia" w:hAnsiTheme="minorEastAsia"/>
          <w:sz w:val="32"/>
          <w:szCs w:val="32"/>
        </w:rPr>
        <w:t>北京三汇能环科技发展有限公司</w:t>
      </w:r>
    </w:p>
    <w:p>
      <w:pPr>
        <w:tabs>
          <w:tab w:val="left" w:pos="1800"/>
        </w:tabs>
        <w:rPr>
          <w:rFonts w:asciiTheme="minorEastAsia" w:hAnsiTheme="minorEastAsia"/>
          <w:sz w:val="32"/>
          <w:szCs w:val="32"/>
        </w:rPr>
      </w:pPr>
      <w:r>
        <w:rPr>
          <w:rFonts w:hint="eastAsia" w:asciiTheme="minorEastAsia" w:hAnsiTheme="minorEastAsia"/>
          <w:sz w:val="32"/>
          <w:szCs w:val="32"/>
        </w:rPr>
        <w:t xml:space="preserve">                         </w:t>
      </w:r>
    </w:p>
    <w:p>
      <w:pPr>
        <w:tabs>
          <w:tab w:val="left" w:pos="1800"/>
        </w:tabs>
        <w:jc w:val="center"/>
        <w:rPr>
          <w:rFonts w:asciiTheme="minorEastAsia" w:hAnsiTheme="minorEastAsia"/>
          <w:sz w:val="32"/>
          <w:szCs w:val="32"/>
        </w:rPr>
      </w:pPr>
      <w:r>
        <w:rPr>
          <w:rFonts w:hint="eastAsia" w:asciiTheme="minorEastAsia" w:hAnsiTheme="minorEastAsia"/>
          <w:sz w:val="32"/>
          <w:szCs w:val="32"/>
        </w:rPr>
        <w:t>202</w:t>
      </w:r>
      <w:r>
        <w:rPr>
          <w:rFonts w:hint="eastAsia" w:asciiTheme="minorEastAsia" w:hAnsiTheme="minorEastAsia"/>
          <w:sz w:val="32"/>
          <w:szCs w:val="32"/>
          <w:lang w:val="en-US" w:eastAsia="zh-CN"/>
        </w:rPr>
        <w:t>3</w:t>
      </w:r>
      <w:r>
        <w:rPr>
          <w:rFonts w:hint="eastAsia" w:asciiTheme="minorEastAsia" w:hAnsiTheme="minorEastAsia"/>
          <w:sz w:val="32"/>
          <w:szCs w:val="32"/>
        </w:rPr>
        <w:t>年0</w:t>
      </w:r>
      <w:r>
        <w:rPr>
          <w:rFonts w:hint="eastAsia" w:asciiTheme="minorEastAsia" w:hAnsiTheme="minorEastAsia"/>
          <w:sz w:val="32"/>
          <w:szCs w:val="32"/>
          <w:lang w:val="en-US" w:eastAsia="zh-CN"/>
        </w:rPr>
        <w:t>4</w:t>
      </w:r>
      <w:r>
        <w:rPr>
          <w:rFonts w:hint="eastAsia" w:asciiTheme="minorEastAsia" w:hAnsiTheme="minorEastAsia"/>
          <w:sz w:val="32"/>
          <w:szCs w:val="32"/>
        </w:rPr>
        <w:t>月</w:t>
      </w:r>
      <w:r>
        <w:rPr>
          <w:rFonts w:hint="eastAsia" w:asciiTheme="minorEastAsia" w:hAnsiTheme="minorEastAsia"/>
          <w:sz w:val="32"/>
          <w:szCs w:val="32"/>
          <w:lang w:val="en-US" w:eastAsia="zh-CN"/>
        </w:rPr>
        <w:t>5</w:t>
      </w:r>
      <w:r>
        <w:rPr>
          <w:rFonts w:hint="eastAsia" w:asciiTheme="minorEastAsia" w:hAnsiTheme="minorEastAsia"/>
          <w:sz w:val="32"/>
          <w:szCs w:val="32"/>
        </w:rPr>
        <w:t>日</w:t>
      </w: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pStyle w:val="2"/>
      </w:pPr>
    </w:p>
    <w:p>
      <w:pPr>
        <w:tabs>
          <w:tab w:val="left" w:pos="1800"/>
        </w:tabs>
        <w:rPr>
          <w:rFonts w:asciiTheme="minorEastAsia" w:hAnsiTheme="minorEastAsia"/>
          <w:szCs w:val="21"/>
        </w:rPr>
      </w:pPr>
    </w:p>
    <w:p>
      <w:pPr>
        <w:tabs>
          <w:tab w:val="left" w:pos="1800"/>
        </w:tabs>
        <w:rPr>
          <w:rFonts w:asciiTheme="minorEastAsia" w:hAnsiTheme="minorEastAsia"/>
          <w:szCs w:val="21"/>
        </w:rPr>
      </w:pPr>
    </w:p>
    <w:p>
      <w:pPr>
        <w:rPr>
          <w:rFonts w:asciiTheme="minorEastAsia" w:hAnsiTheme="minorEastAsia"/>
        </w:rPr>
      </w:pPr>
    </w:p>
    <w:p>
      <w:pPr>
        <w:numPr>
          <w:ilvl w:val="0"/>
          <w:numId w:val="2"/>
        </w:numPr>
        <w:tabs>
          <w:tab w:val="left" w:pos="360"/>
        </w:tabs>
        <w:ind w:left="540" w:hanging="540"/>
        <w:rPr>
          <w:rFonts w:asciiTheme="minorEastAsia" w:hAnsiTheme="minorEastAsia"/>
          <w:szCs w:val="21"/>
        </w:rPr>
      </w:pPr>
      <w:r>
        <w:rPr>
          <w:rFonts w:hint="eastAsia" w:asciiTheme="minorEastAsia" w:hAnsiTheme="minorEastAsia"/>
          <w:szCs w:val="21"/>
        </w:rPr>
        <w:t>概况：</w:t>
      </w:r>
    </w:p>
    <w:tbl>
      <w:tblPr>
        <w:tblW w:w="506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47"/>
        <w:gridCol w:w="368"/>
        <w:gridCol w:w="709"/>
        <w:gridCol w:w="629"/>
        <w:gridCol w:w="1053"/>
        <w:gridCol w:w="708"/>
        <w:gridCol w:w="270"/>
        <w:gridCol w:w="592"/>
        <w:gridCol w:w="480"/>
        <w:gridCol w:w="1285"/>
        <w:gridCol w:w="17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645"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业主单位</w:t>
            </w:r>
          </w:p>
        </w:tc>
        <w:tc>
          <w:tcPr>
            <w:tcW w:w="1951"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北京华联银川悦海新天地购物广场</w:t>
            </w:r>
          </w:p>
        </w:tc>
        <w:tc>
          <w:tcPr>
            <w:tcW w:w="621" w:type="pct"/>
            <w:gridSpan w:val="2"/>
            <w:tcBorders>
              <w:top w:val="single" w:color="000000" w:sz="4" w:space="0"/>
              <w:left w:val="nil"/>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报价单位</w:t>
            </w:r>
          </w:p>
        </w:tc>
        <w:tc>
          <w:tcPr>
            <w:tcW w:w="178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北京三汇能环科技发展有限公司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 w:hRule="atLeast"/>
        </w:trPr>
        <w:tc>
          <w:tcPr>
            <w:tcW w:w="645"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项目地址</w:t>
            </w:r>
          </w:p>
        </w:tc>
        <w:tc>
          <w:tcPr>
            <w:tcW w:w="1951"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宁夏银川金凤区枕水巷18号悦海新天地</w:t>
            </w:r>
          </w:p>
        </w:tc>
        <w:tc>
          <w:tcPr>
            <w:tcW w:w="62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销售代表</w:t>
            </w:r>
          </w:p>
        </w:tc>
        <w:tc>
          <w:tcPr>
            <w:tcW w:w="178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赵兴华         18001317823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645"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联系人</w:t>
            </w:r>
          </w:p>
        </w:tc>
        <w:tc>
          <w:tcPr>
            <w:tcW w:w="1951"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侯总</w:t>
            </w:r>
          </w:p>
        </w:tc>
        <w:tc>
          <w:tcPr>
            <w:tcW w:w="62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0"/>
                <w:szCs w:val="20"/>
                <w:u w:val="none"/>
              </w:rPr>
            </w:pPr>
            <w:r>
              <w:rPr>
                <w:rFonts w:hint="eastAsia" w:ascii="宋体" w:hAnsi="宋体" w:eastAsia="宋体" w:cs="宋体"/>
                <w:b w:val="0"/>
                <w:bCs w:val="0"/>
                <w:i w:val="0"/>
                <w:iCs w:val="0"/>
                <w:color w:val="auto"/>
                <w:kern w:val="0"/>
                <w:sz w:val="20"/>
                <w:szCs w:val="20"/>
                <w:u w:val="none"/>
                <w:bdr w:val="none" w:color="auto" w:sz="0" w:space="0"/>
                <w:lang w:val="en-US" w:eastAsia="zh-CN" w:bidi="ar"/>
              </w:rPr>
              <w:t>报价编号</w:t>
            </w:r>
          </w:p>
        </w:tc>
        <w:tc>
          <w:tcPr>
            <w:tcW w:w="178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auto"/>
                <w:sz w:val="22"/>
                <w:szCs w:val="22"/>
                <w:u w:val="none"/>
              </w:rPr>
            </w:pPr>
            <w:r>
              <w:rPr>
                <w:rFonts w:hint="eastAsia" w:ascii="宋体" w:hAnsi="宋体" w:eastAsia="宋体" w:cs="宋体"/>
                <w:b w:val="0"/>
                <w:bCs w:val="0"/>
                <w:i w:val="0"/>
                <w:iCs w:val="0"/>
                <w:color w:val="auto"/>
                <w:kern w:val="0"/>
                <w:sz w:val="22"/>
                <w:szCs w:val="22"/>
                <w:u w:val="none"/>
                <w:bdr w:val="none" w:color="auto" w:sz="0" w:space="0"/>
                <w:lang w:val="en-US" w:eastAsia="zh-CN" w:bidi="ar"/>
              </w:rPr>
              <w:fldChar w:fldCharType="begin"/>
            </w:r>
            <w:r>
              <w:rPr>
                <w:rFonts w:hint="eastAsia" w:ascii="宋体" w:hAnsi="宋体" w:eastAsia="宋体" w:cs="宋体"/>
                <w:b w:val="0"/>
                <w:bCs w:val="0"/>
                <w:i w:val="0"/>
                <w:iCs w:val="0"/>
                <w:color w:val="auto"/>
                <w:kern w:val="0"/>
                <w:sz w:val="22"/>
                <w:szCs w:val="22"/>
                <w:u w:val="none"/>
                <w:bdr w:val="none" w:color="auto" w:sz="0" w:space="0"/>
                <w:lang w:val="en-US" w:eastAsia="zh-CN" w:bidi="ar"/>
              </w:rPr>
              <w:instrText xml:space="preserve"> HYPERLINK "mailto:sanhuinh@163.com" </w:instrText>
            </w:r>
            <w:r>
              <w:rPr>
                <w:rFonts w:hint="eastAsia" w:ascii="宋体" w:hAnsi="宋体" w:eastAsia="宋体" w:cs="宋体"/>
                <w:b w:val="0"/>
                <w:bCs w:val="0"/>
                <w:i w:val="0"/>
                <w:iCs w:val="0"/>
                <w:color w:val="auto"/>
                <w:kern w:val="0"/>
                <w:sz w:val="22"/>
                <w:szCs w:val="22"/>
                <w:u w:val="none"/>
                <w:bdr w:val="none" w:color="auto" w:sz="0" w:space="0"/>
                <w:lang w:val="en-US" w:eastAsia="zh-CN" w:bidi="ar"/>
              </w:rPr>
              <w:fldChar w:fldCharType="separate"/>
            </w:r>
            <w:r>
              <w:rPr>
                <w:rStyle w:val="16"/>
                <w:rFonts w:hint="eastAsia" w:ascii="宋体" w:hAnsi="宋体" w:eastAsia="宋体" w:cs="宋体"/>
                <w:b w:val="0"/>
                <w:bCs w:val="0"/>
                <w:i w:val="0"/>
                <w:iCs w:val="0"/>
                <w:color w:val="auto"/>
                <w:sz w:val="22"/>
                <w:szCs w:val="22"/>
                <w:u w:val="none"/>
                <w:bdr w:val="none" w:color="auto" w:sz="0" w:space="0"/>
              </w:rPr>
              <w:t>NHY-20230405-Q-02-01-001</w:t>
            </w:r>
            <w:r>
              <w:rPr>
                <w:rFonts w:hint="eastAsia" w:ascii="宋体" w:hAnsi="宋体" w:eastAsia="宋体" w:cs="宋体"/>
                <w:b w:val="0"/>
                <w:bCs w:val="0"/>
                <w:i w:val="0"/>
                <w:iCs w:val="0"/>
                <w:color w:val="auto"/>
                <w:kern w:val="0"/>
                <w:sz w:val="22"/>
                <w:szCs w:val="22"/>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645"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联系电话</w:t>
            </w:r>
          </w:p>
        </w:tc>
        <w:tc>
          <w:tcPr>
            <w:tcW w:w="1951" w:type="pct"/>
            <w:gridSpan w:val="5"/>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13381205898</w:t>
            </w:r>
          </w:p>
        </w:tc>
        <w:tc>
          <w:tcPr>
            <w:tcW w:w="62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客服电话</w:t>
            </w:r>
          </w:p>
        </w:tc>
        <w:tc>
          <w:tcPr>
            <w:tcW w:w="178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400-636-7337    18001317827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645"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微信/邮箱</w:t>
            </w:r>
          </w:p>
        </w:tc>
        <w:tc>
          <w:tcPr>
            <w:tcW w:w="1951" w:type="pct"/>
            <w:gridSpan w:val="5"/>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ascii="黑体" w:hAnsi="宋体" w:eastAsia="黑体" w:cs="黑体"/>
                <w:b w:val="0"/>
                <w:bCs w:val="0"/>
                <w:i w:val="0"/>
                <w:iCs w:val="0"/>
                <w:color w:val="800080"/>
                <w:sz w:val="20"/>
                <w:szCs w:val="20"/>
                <w:u w:val="single"/>
              </w:rPr>
            </w:pPr>
            <w:r>
              <w:rPr>
                <w:rFonts w:hint="eastAsia" w:ascii="黑体" w:hAnsi="宋体" w:eastAsia="黑体" w:cs="黑体"/>
                <w:b w:val="0"/>
                <w:bCs w:val="0"/>
                <w:i w:val="0"/>
                <w:iCs w:val="0"/>
                <w:kern w:val="0"/>
                <w:sz w:val="20"/>
                <w:szCs w:val="20"/>
                <w:u w:val="single"/>
                <w:bdr w:val="none" w:color="auto" w:sz="0" w:space="0"/>
                <w:lang w:val="en-US" w:eastAsia="zh-CN" w:bidi="ar"/>
              </w:rPr>
              <w:fldChar w:fldCharType="begin"/>
            </w:r>
            <w:r>
              <w:rPr>
                <w:rFonts w:hint="eastAsia" w:ascii="黑体" w:hAnsi="宋体" w:eastAsia="黑体" w:cs="黑体"/>
                <w:b w:val="0"/>
                <w:bCs w:val="0"/>
                <w:i w:val="0"/>
                <w:iCs w:val="0"/>
                <w:kern w:val="0"/>
                <w:sz w:val="20"/>
                <w:szCs w:val="20"/>
                <w:u w:val="single"/>
                <w:bdr w:val="none" w:color="auto" w:sz="0" w:space="0"/>
                <w:lang w:val="en-US" w:eastAsia="zh-CN" w:bidi="ar"/>
              </w:rPr>
              <w:instrText xml:space="preserve"> HYPERLINK "mailto:1074233046@qq.com" </w:instrText>
            </w:r>
            <w:r>
              <w:rPr>
                <w:rFonts w:hint="eastAsia" w:ascii="黑体" w:hAnsi="宋体" w:eastAsia="黑体" w:cs="黑体"/>
                <w:b w:val="0"/>
                <w:bCs w:val="0"/>
                <w:i w:val="0"/>
                <w:iCs w:val="0"/>
                <w:kern w:val="0"/>
                <w:sz w:val="20"/>
                <w:szCs w:val="20"/>
                <w:u w:val="single"/>
                <w:bdr w:val="none" w:color="auto" w:sz="0" w:space="0"/>
                <w:lang w:val="en-US" w:eastAsia="zh-CN" w:bidi="ar"/>
              </w:rPr>
              <w:fldChar w:fldCharType="separate"/>
            </w:r>
            <w:r>
              <w:rPr>
                <w:rFonts w:hint="eastAsia" w:ascii="黑体" w:hAnsi="宋体" w:eastAsia="黑体" w:cs="黑体"/>
                <w:b w:val="0"/>
                <w:bCs w:val="0"/>
                <w:i w:val="0"/>
                <w:iCs w:val="0"/>
                <w:kern w:val="0"/>
                <w:sz w:val="20"/>
                <w:szCs w:val="20"/>
                <w:u w:val="single"/>
                <w:bdr w:val="none" w:color="auto" w:sz="0" w:space="0"/>
                <w:lang w:val="en-US" w:eastAsia="zh-CN" w:bidi="ar"/>
              </w:rPr>
              <w:fldChar w:fldCharType="end"/>
            </w:r>
          </w:p>
        </w:tc>
        <w:tc>
          <w:tcPr>
            <w:tcW w:w="62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技术支持</w:t>
            </w:r>
          </w:p>
        </w:tc>
        <w:tc>
          <w:tcPr>
            <w:tcW w:w="1781"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徐利斌          18911280030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机 组 概 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4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序号</w:t>
            </w:r>
          </w:p>
        </w:tc>
        <w:tc>
          <w:tcPr>
            <w:tcW w:w="6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设备名称</w:t>
            </w:r>
          </w:p>
        </w:tc>
        <w:tc>
          <w:tcPr>
            <w:tcW w:w="3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品牌</w:t>
            </w:r>
          </w:p>
        </w:tc>
        <w:tc>
          <w:tcPr>
            <w:tcW w:w="61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型号</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单位</w:t>
            </w:r>
          </w:p>
        </w:tc>
        <w:tc>
          <w:tcPr>
            <w:tcW w:w="49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数量</w:t>
            </w:r>
          </w:p>
        </w:tc>
        <w:tc>
          <w:tcPr>
            <w:tcW w:w="102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生产日期</w:t>
            </w:r>
          </w:p>
        </w:tc>
        <w:tc>
          <w:tcPr>
            <w:tcW w:w="1036"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3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6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离心机</w:t>
            </w:r>
          </w:p>
        </w:tc>
        <w:tc>
          <w:tcPr>
            <w:tcW w:w="3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美的</w:t>
            </w:r>
          </w:p>
        </w:tc>
        <w:tc>
          <w:tcPr>
            <w:tcW w:w="61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LC750M</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49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102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2013年6月</w:t>
            </w:r>
          </w:p>
        </w:tc>
        <w:tc>
          <w:tcPr>
            <w:tcW w:w="10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制冷量:2637kw；R134a,630kg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60" w:hRule="atLeast"/>
        </w:trPr>
        <w:tc>
          <w:tcPr>
            <w:tcW w:w="432" w:type="pct"/>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623"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w:t>
            </w:r>
          </w:p>
        </w:tc>
        <w:tc>
          <w:tcPr>
            <w:tcW w:w="36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美的</w:t>
            </w:r>
          </w:p>
        </w:tc>
        <w:tc>
          <w:tcPr>
            <w:tcW w:w="61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LSBLG1740/MF</w:t>
            </w:r>
          </w:p>
        </w:tc>
        <w:tc>
          <w:tcPr>
            <w:tcW w:w="41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w:t>
            </w:r>
          </w:p>
        </w:tc>
        <w:tc>
          <w:tcPr>
            <w:tcW w:w="499"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1022"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2013年5月</w:t>
            </w:r>
          </w:p>
        </w:tc>
        <w:tc>
          <w:tcPr>
            <w:tcW w:w="103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制冷量:1740kw；R22,430kg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480" w:hRule="atLeast"/>
        </w:trPr>
        <w:tc>
          <w:tcPr>
            <w:tcW w:w="4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现状</w:t>
            </w:r>
          </w:p>
        </w:tc>
        <w:tc>
          <w:tcPr>
            <w:tcW w:w="4567" w:type="pct"/>
            <w:gridSpan w:val="10"/>
            <w:tcBorders>
              <w:top w:val="single" w:color="000000" w:sz="4" w:space="0"/>
              <w:left w:val="single" w:color="000000" w:sz="4" w:space="0"/>
              <w:bottom w:val="nil"/>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设备运行正常。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方案</w:t>
            </w:r>
          </w:p>
        </w:tc>
        <w:tc>
          <w:tcPr>
            <w:tcW w:w="4567" w:type="pct"/>
            <w:gridSpan w:val="10"/>
            <w:tcBorders>
              <w:top w:val="single" w:color="000000" w:sz="4" w:space="0"/>
              <w:left w:val="single" w:color="000000" w:sz="4" w:space="0"/>
              <w:bottom w:val="single" w:color="auto"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1、2台离心机和3台螺杆机年度保养技术服务，具体内容见附件一：                                                                              2、2台离心机和3台螺杆机冷凝器和蒸发器化学清洗、预膜，具体内容见附件二；                               3、冷却水系统清洗、预膜和水质稳定处理，具体内容见附件三。                                                                                                                                 </w:t>
            </w:r>
          </w:p>
        </w:tc>
      </w:tr>
    </w:tbl>
    <w:p>
      <w:pPr>
        <w:tabs>
          <w:tab w:val="left" w:pos="1800"/>
        </w:tabs>
        <w:rPr>
          <w:rFonts w:asciiTheme="minorEastAsia" w:hAnsiTheme="minorEastAsia"/>
          <w:sz w:val="21"/>
          <w:szCs w:val="21"/>
        </w:rPr>
      </w:pPr>
    </w:p>
    <w:p>
      <w:pPr>
        <w:rPr>
          <w:rFonts w:asciiTheme="minorEastAsia" w:hAnsiTheme="minorEastAsia"/>
          <w:sz w:val="21"/>
          <w:szCs w:val="21"/>
        </w:rPr>
      </w:pPr>
      <w:r>
        <w:rPr>
          <w:rFonts w:hint="eastAsia" w:asciiTheme="minorEastAsia" w:hAnsiTheme="minorEastAsia"/>
          <w:sz w:val="21"/>
          <w:szCs w:val="21"/>
        </w:rPr>
        <w:t>二．项目具体方案：方案见附件</w:t>
      </w:r>
    </w:p>
    <w:p>
      <w:pPr>
        <w:rPr>
          <w:rFonts w:asciiTheme="minorEastAsia" w:hAnsiTheme="minorEastAsia"/>
          <w:sz w:val="21"/>
          <w:szCs w:val="21"/>
        </w:rPr>
      </w:pPr>
      <w:r>
        <w:rPr>
          <w:rFonts w:hint="eastAsia" w:asciiTheme="minorEastAsia" w:hAnsiTheme="minorEastAsia"/>
          <w:sz w:val="21"/>
          <w:szCs w:val="21"/>
        </w:rPr>
        <w:t>三．甲方的权利和义务：</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免费、及时的提供必要的水、电及相关协助；</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监督乙方的保养和</w:t>
      </w:r>
      <w:r>
        <w:rPr>
          <w:rFonts w:hint="eastAsia" w:asciiTheme="minorEastAsia" w:hAnsiTheme="minorEastAsia"/>
          <w:b w:val="0"/>
          <w:bCs w:val="0"/>
          <w:sz w:val="21"/>
          <w:szCs w:val="21"/>
          <w:lang w:val="en-US" w:eastAsia="zh-CN"/>
        </w:rPr>
        <w:t>改造的</w:t>
      </w:r>
      <w:r>
        <w:rPr>
          <w:rFonts w:hint="eastAsia" w:asciiTheme="minorEastAsia" w:hAnsiTheme="minorEastAsia"/>
          <w:b w:val="0"/>
          <w:bCs w:val="0"/>
          <w:sz w:val="21"/>
          <w:szCs w:val="21"/>
        </w:rPr>
        <w:t>质量及进度。</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及时支付乙方各项费用；</w:t>
      </w:r>
    </w:p>
    <w:p>
      <w:pPr>
        <w:numPr>
          <w:ilvl w:val="0"/>
          <w:numId w:val="3"/>
        </w:numPr>
        <w:rPr>
          <w:rFonts w:asciiTheme="minorEastAsia" w:hAnsiTheme="minorEastAsia"/>
          <w:b w:val="0"/>
          <w:bCs w:val="0"/>
          <w:sz w:val="21"/>
          <w:szCs w:val="21"/>
        </w:rPr>
      </w:pPr>
      <w:r>
        <w:rPr>
          <w:rFonts w:hint="eastAsia" w:asciiTheme="minorEastAsia" w:hAnsiTheme="minorEastAsia"/>
          <w:b w:val="0"/>
          <w:bCs w:val="0"/>
          <w:sz w:val="21"/>
          <w:szCs w:val="21"/>
        </w:rPr>
        <w:t>在乙方的施工记录、施工验收单及巡检记录上如无异议签字认可。</w:t>
      </w:r>
    </w:p>
    <w:p>
      <w:pPr>
        <w:rPr>
          <w:rFonts w:asciiTheme="minorEastAsia" w:hAnsiTheme="minorEastAsia"/>
          <w:sz w:val="21"/>
          <w:szCs w:val="21"/>
        </w:rPr>
      </w:pPr>
      <w:r>
        <w:rPr>
          <w:rFonts w:hint="eastAsia" w:asciiTheme="minorEastAsia" w:hAnsiTheme="minorEastAsia"/>
          <w:sz w:val="21"/>
          <w:szCs w:val="21"/>
        </w:rPr>
        <w:t>四．乙方的权利和义务：</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1</w:t>
      </w:r>
      <w:r>
        <w:rPr>
          <w:rFonts w:hint="eastAsia" w:asciiTheme="minorEastAsia" w:hAnsiTheme="minorEastAsia"/>
          <w:b w:val="0"/>
          <w:bCs w:val="0"/>
          <w:sz w:val="21"/>
          <w:szCs w:val="21"/>
        </w:rPr>
        <w:t>．机组制冷前停机期间，对机组进行一次全面保养。做好保养记录并存档；</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2</w:t>
      </w:r>
      <w:r>
        <w:rPr>
          <w:rFonts w:hint="eastAsia" w:asciiTheme="minorEastAsia" w:hAnsiTheme="minorEastAsia"/>
          <w:b w:val="0"/>
          <w:bCs w:val="0"/>
          <w:sz w:val="21"/>
          <w:szCs w:val="21"/>
        </w:rPr>
        <w:t>．机组运行期间，乙方每月派员巡检一次。做好巡检记录并存档。发现问题及时处理。机组出现故障，接客户电话后</w:t>
      </w:r>
      <w:r>
        <w:rPr>
          <w:rFonts w:hint="eastAsia" w:asciiTheme="minorEastAsia" w:hAnsiTheme="minorEastAsia"/>
          <w:b w:val="0"/>
          <w:bCs w:val="0"/>
          <w:sz w:val="21"/>
          <w:szCs w:val="21"/>
          <w:lang w:val="en-US" w:eastAsia="zh-CN"/>
        </w:rPr>
        <w:t>24</w:t>
      </w:r>
      <w:r>
        <w:rPr>
          <w:rFonts w:hint="eastAsia" w:asciiTheme="minorEastAsia" w:hAnsiTheme="minorEastAsia"/>
          <w:b w:val="0"/>
          <w:bCs w:val="0"/>
          <w:sz w:val="21"/>
          <w:szCs w:val="21"/>
        </w:rPr>
        <w:t>小时内赶到现场抢修；</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3</w:t>
      </w:r>
      <w:r>
        <w:rPr>
          <w:rFonts w:hint="eastAsia" w:asciiTheme="minorEastAsia" w:hAnsiTheme="minorEastAsia"/>
          <w:b w:val="0"/>
          <w:bCs w:val="0"/>
          <w:sz w:val="21"/>
          <w:szCs w:val="21"/>
        </w:rPr>
        <w:t>．配件费用根据市场价格由乙方代购或甲方自行采购；</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asciiTheme="minorEastAsia" w:hAnsiTheme="minorEastAsia"/>
          <w:b w:val="0"/>
          <w:bCs w:val="0"/>
          <w:sz w:val="21"/>
          <w:szCs w:val="21"/>
        </w:rPr>
        <w:t>4</w:t>
      </w:r>
      <w:r>
        <w:rPr>
          <w:rFonts w:hint="eastAsia" w:asciiTheme="minorEastAsia" w:hAnsiTheme="minorEastAsia"/>
          <w:b w:val="0"/>
          <w:bCs w:val="0"/>
          <w:sz w:val="21"/>
          <w:szCs w:val="21"/>
        </w:rPr>
        <w:t>．遵守甲方的规章制度，作到人走料尽地净。</w:t>
      </w:r>
    </w:p>
    <w:p>
      <w:pPr>
        <w:ind w:left="420" w:hanging="420" w:hangingChars="200"/>
        <w:rPr>
          <w:rFonts w:asciiTheme="minorEastAsia" w:hAnsiTheme="minorEastAsia"/>
          <w:b w:val="0"/>
          <w:bCs w:val="0"/>
          <w:sz w:val="21"/>
          <w:szCs w:val="21"/>
        </w:rPr>
      </w:pPr>
      <w:r>
        <w:rPr>
          <w:rFonts w:hint="eastAsia" w:asciiTheme="minorEastAsia" w:hAnsiTheme="minorEastAsia"/>
          <w:b w:val="0"/>
          <w:bCs w:val="0"/>
          <w:sz w:val="21"/>
          <w:szCs w:val="21"/>
        </w:rPr>
        <w:t xml:space="preserve"> 5. 螺杆机组年度保养更换零配件单价金额人民币</w:t>
      </w:r>
      <w:r>
        <w:rPr>
          <w:rFonts w:hint="eastAsia" w:asciiTheme="minorEastAsia" w:hAnsiTheme="minorEastAsia"/>
          <w:b w:val="0"/>
          <w:bCs w:val="0"/>
          <w:sz w:val="21"/>
          <w:szCs w:val="21"/>
          <w:lang w:val="en-US" w:eastAsia="zh-CN"/>
        </w:rPr>
        <w:t>5</w:t>
      </w:r>
      <w:r>
        <w:rPr>
          <w:rFonts w:hint="eastAsia" w:asciiTheme="minorEastAsia" w:hAnsiTheme="minorEastAsia"/>
          <w:b w:val="0"/>
          <w:bCs w:val="0"/>
          <w:sz w:val="21"/>
          <w:szCs w:val="21"/>
        </w:rPr>
        <w:t>00元以内（含</w:t>
      </w:r>
      <w:r>
        <w:rPr>
          <w:rFonts w:hint="eastAsia" w:asciiTheme="minorEastAsia" w:hAnsiTheme="minorEastAsia"/>
          <w:b w:val="0"/>
          <w:bCs w:val="0"/>
          <w:sz w:val="21"/>
          <w:szCs w:val="21"/>
          <w:lang w:val="en-US" w:eastAsia="zh-CN"/>
        </w:rPr>
        <w:t>5</w:t>
      </w:r>
      <w:r>
        <w:rPr>
          <w:rFonts w:hint="eastAsia" w:asciiTheme="minorEastAsia" w:hAnsiTheme="minorEastAsia"/>
          <w:b w:val="0"/>
          <w:bCs w:val="0"/>
          <w:sz w:val="21"/>
          <w:szCs w:val="21"/>
        </w:rPr>
        <w:t>00元），配件费由乙方承担，超过</w:t>
      </w:r>
      <w:r>
        <w:rPr>
          <w:rFonts w:hint="eastAsia" w:asciiTheme="minorEastAsia" w:hAnsiTheme="minorEastAsia"/>
          <w:b w:val="0"/>
          <w:bCs w:val="0"/>
          <w:sz w:val="21"/>
          <w:szCs w:val="21"/>
          <w:lang w:val="en-US" w:eastAsia="zh-CN"/>
        </w:rPr>
        <w:t>5</w:t>
      </w:r>
      <w:r>
        <w:rPr>
          <w:rFonts w:hint="eastAsia" w:asciiTheme="minorEastAsia" w:hAnsiTheme="minorEastAsia"/>
          <w:b w:val="0"/>
          <w:bCs w:val="0"/>
          <w:sz w:val="21"/>
          <w:szCs w:val="21"/>
        </w:rPr>
        <w:t>00元的配件由甲方承担。凡乙方提供的配件，乙方保证合格，不合格的免费更换。</w:t>
      </w:r>
    </w:p>
    <w:p>
      <w:pPr>
        <w:rPr>
          <w:rFonts w:hint="eastAsia" w:ascii="宋体" w:hAnsi="宋体" w:eastAsia="宋体" w:cs="宋体"/>
          <w:b w:val="0"/>
          <w:bCs w:val="0"/>
          <w:i w:val="0"/>
          <w:iCs w:val="0"/>
          <w:color w:val="000000"/>
          <w:kern w:val="0"/>
          <w:sz w:val="20"/>
          <w:szCs w:val="20"/>
          <w:u w:val="none"/>
          <w:lang w:val="en-US" w:eastAsia="zh-CN" w:bidi="ar"/>
        </w:rPr>
      </w:pPr>
      <w:r>
        <w:rPr>
          <w:rFonts w:hint="eastAsia" w:asciiTheme="minorEastAsia" w:hAnsiTheme="minorEastAsia"/>
          <w:sz w:val="21"/>
          <w:szCs w:val="21"/>
        </w:rPr>
        <w:t>五．履行的地点：</w:t>
      </w:r>
    </w:p>
    <w:p>
      <w:pPr>
        <w:rPr>
          <w:rFonts w:hint="eastAsia" w:ascii="宋体" w:hAnsi="宋体" w:eastAsia="宋体" w:cs="宋体"/>
          <w:b w:val="0"/>
          <w:bCs w:val="0"/>
          <w:i w:val="0"/>
          <w:iCs w:val="0"/>
          <w:color w:val="000000"/>
          <w:kern w:val="0"/>
          <w:sz w:val="20"/>
          <w:szCs w:val="20"/>
          <w:u w:val="none"/>
          <w:lang w:val="en-US" w:eastAsia="zh-CN" w:bidi="ar"/>
        </w:rPr>
      </w:pPr>
    </w:p>
    <w:p>
      <w:pPr>
        <w:rPr>
          <w:rFonts w:asciiTheme="minorEastAsia" w:hAnsiTheme="minorEastAsia"/>
          <w:b w:val="0"/>
          <w:bCs w:val="0"/>
          <w:sz w:val="21"/>
          <w:szCs w:val="21"/>
        </w:rPr>
      </w:pPr>
      <w:r>
        <w:rPr>
          <w:rFonts w:hint="eastAsia" w:asciiTheme="minorEastAsia" w:hAnsiTheme="minorEastAsia"/>
          <w:sz w:val="21"/>
          <w:szCs w:val="21"/>
        </w:rPr>
        <w:t>六．履行的期限：</w:t>
      </w:r>
      <w:r>
        <w:rPr>
          <w:rFonts w:hint="eastAsia" w:asciiTheme="minorEastAsia" w:hAnsiTheme="minorEastAsia"/>
          <w:b w:val="0"/>
          <w:bCs w:val="0"/>
          <w:sz w:val="21"/>
          <w:szCs w:val="21"/>
        </w:rPr>
        <w:t>一年内有效。</w:t>
      </w:r>
    </w:p>
    <w:p>
      <w:pPr>
        <w:rPr>
          <w:rFonts w:asciiTheme="minorEastAsia" w:hAnsiTheme="minorEastAsia"/>
          <w:b w:val="0"/>
          <w:bCs w:val="0"/>
          <w:sz w:val="21"/>
          <w:szCs w:val="21"/>
        </w:rPr>
      </w:pPr>
    </w:p>
    <w:p>
      <w:pPr>
        <w:rPr>
          <w:rFonts w:hint="eastAsia" w:asciiTheme="minorEastAsia" w:hAnsiTheme="minorEastAsia"/>
          <w:sz w:val="21"/>
          <w:szCs w:val="21"/>
        </w:rPr>
      </w:pPr>
      <w:r>
        <w:rPr>
          <w:rFonts w:hint="eastAsia" w:asciiTheme="minorEastAsia" w:hAnsiTheme="minorEastAsia"/>
          <w:sz w:val="21"/>
          <w:szCs w:val="21"/>
        </w:rPr>
        <w:t>七．报价：</w:t>
      </w:r>
    </w:p>
    <w:tbl>
      <w:tblP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44"/>
        <w:gridCol w:w="450"/>
        <w:gridCol w:w="1882"/>
        <w:gridCol w:w="636"/>
        <w:gridCol w:w="714"/>
        <w:gridCol w:w="683"/>
        <w:gridCol w:w="1245"/>
        <w:gridCol w:w="132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trPr>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序号</w:t>
            </w:r>
          </w:p>
        </w:tc>
        <w:tc>
          <w:tcPr>
            <w:tcW w:w="1368"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部品/作业名称</w:t>
            </w:r>
          </w:p>
        </w:tc>
        <w:tc>
          <w:tcPr>
            <w:tcW w:w="373"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型号</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数量</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单位</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单价</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金额/￥</w:t>
            </w:r>
          </w:p>
        </w:tc>
        <w:tc>
          <w:tcPr>
            <w:tcW w:w="55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w:t>
            </w:r>
          </w:p>
        </w:tc>
        <w:tc>
          <w:tcPr>
            <w:tcW w:w="26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材料/配件</w:t>
            </w:r>
          </w:p>
        </w:tc>
        <w:tc>
          <w:tcPr>
            <w:tcW w:w="1104"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离心机冷冻油</w:t>
            </w:r>
          </w:p>
        </w:tc>
        <w:tc>
          <w:tcPr>
            <w:tcW w:w="373"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桶</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2,500.00 </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15,000.00 </w:t>
            </w:r>
          </w:p>
        </w:tc>
        <w:tc>
          <w:tcPr>
            <w:tcW w:w="55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104"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离心机油过滤器</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750.00 </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1,500.00 </w:t>
            </w:r>
          </w:p>
        </w:tc>
        <w:tc>
          <w:tcPr>
            <w:tcW w:w="55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104"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离心机干燥过滤器</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8</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只</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450.00 </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3,600.00 </w:t>
            </w:r>
          </w:p>
        </w:tc>
        <w:tc>
          <w:tcPr>
            <w:tcW w:w="55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1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螺杆机油过滤器</w:t>
            </w:r>
          </w:p>
        </w:tc>
        <w:tc>
          <w:tcPr>
            <w:tcW w:w="373"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b w:val="0"/>
                <w:bCs w:val="0"/>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6</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个</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580.00 </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3,480.00 </w:t>
            </w:r>
          </w:p>
        </w:tc>
        <w:tc>
          <w:tcPr>
            <w:tcW w:w="554" w:type="pct"/>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1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螺杆机干澡过滤器</w:t>
            </w:r>
          </w:p>
        </w:tc>
        <w:tc>
          <w:tcPr>
            <w:tcW w:w="373"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b w:val="0"/>
                <w:bCs w:val="0"/>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12</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个</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80.00 </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960.00 </w:t>
            </w:r>
          </w:p>
        </w:tc>
        <w:tc>
          <w:tcPr>
            <w:tcW w:w="554" w:type="pct"/>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2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1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螺杆机冷冻油</w:t>
            </w:r>
          </w:p>
        </w:tc>
        <w:tc>
          <w:tcPr>
            <w:tcW w:w="373" w:type="pct"/>
            <w:tcBorders>
              <w:top w:val="single" w:color="000000" w:sz="4" w:space="0"/>
              <w:left w:val="single" w:color="000000" w:sz="4" w:space="0"/>
              <w:bottom w:val="single" w:color="000000" w:sz="4" w:space="0"/>
              <w:right w:val="single" w:color="000000" w:sz="4" w:space="0"/>
            </w:tcBorders>
            <w:shd w:val="clear"/>
            <w:noWrap/>
            <w:vAlign w:val="bottom"/>
          </w:tcPr>
          <w:p>
            <w:pPr>
              <w:rPr>
                <w:rFonts w:hint="eastAsia" w:ascii="宋体" w:hAnsi="宋体" w:eastAsia="宋体" w:cs="宋体"/>
                <w:b w:val="0"/>
                <w:bCs w:val="0"/>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12</w:t>
            </w:r>
          </w:p>
        </w:tc>
        <w:tc>
          <w:tcPr>
            <w:tcW w:w="40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桶</w:t>
            </w: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2,300.00 </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27,600.00 </w:t>
            </w:r>
          </w:p>
        </w:tc>
        <w:tc>
          <w:tcPr>
            <w:tcW w:w="554" w:type="pct"/>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477"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不含税小计</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52,140.00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477" w:type="pct"/>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税金</w:t>
            </w:r>
          </w:p>
        </w:tc>
        <w:tc>
          <w:tcPr>
            <w:tcW w:w="419"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宋体" w:hAnsi="宋体" w:eastAsia="宋体" w:cs="宋体"/>
                <w:b w:val="0"/>
                <w:bCs w:val="0"/>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0.13 </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6,778.20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477"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价税小计</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b w:val="0"/>
                <w:bCs w:val="0"/>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58,918.20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7"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2</w:t>
            </w:r>
          </w:p>
        </w:tc>
        <w:tc>
          <w:tcPr>
            <w:tcW w:w="264"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技术服务</w:t>
            </w:r>
          </w:p>
        </w:tc>
        <w:tc>
          <w:tcPr>
            <w:tcW w:w="1104" w:type="pct"/>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年度保养技术服务</w:t>
            </w:r>
          </w:p>
        </w:tc>
        <w:tc>
          <w:tcPr>
            <w:tcW w:w="373" w:type="pct"/>
            <w:tcBorders>
              <w:top w:val="single" w:color="000000" w:sz="4" w:space="0"/>
              <w:left w:val="single" w:color="000000" w:sz="4" w:space="0"/>
              <w:bottom w:val="single" w:color="000000" w:sz="4" w:space="0"/>
              <w:right w:val="single" w:color="000000" w:sz="4" w:space="0"/>
            </w:tcBorders>
            <w:shd w:val="clear"/>
            <w:vAlign w:val="center"/>
          </w:tcPr>
          <w:p>
            <w:pPr>
              <w:jc w:val="left"/>
              <w:rPr>
                <w:rFonts w:hint="eastAsia" w:ascii="宋体" w:hAnsi="宋体" w:eastAsia="宋体" w:cs="宋体"/>
                <w:b w:val="0"/>
                <w:bCs w:val="0"/>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5 </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台/年</w:t>
            </w:r>
          </w:p>
        </w:tc>
        <w:tc>
          <w:tcPr>
            <w:tcW w:w="7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6,500.00 </w:t>
            </w:r>
          </w:p>
        </w:tc>
        <w:tc>
          <w:tcPr>
            <w:tcW w:w="77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32,500.00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104" w:type="pct"/>
            <w:tcBorders>
              <w:top w:val="single" w:color="000000" w:sz="4" w:space="0"/>
              <w:left w:val="nil"/>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离心机冷凝器清洗、预膜</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LC750M</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2 </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7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5,000.00 </w:t>
            </w:r>
          </w:p>
        </w:tc>
        <w:tc>
          <w:tcPr>
            <w:tcW w:w="77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10,000.00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104" w:type="pct"/>
            <w:tcBorders>
              <w:top w:val="single" w:color="000000" w:sz="4" w:space="0"/>
              <w:left w:val="nil"/>
              <w:bottom w:val="single" w:color="000000" w:sz="4" w:space="0"/>
              <w:right w:val="nil"/>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螺杆机冷凝器清洗、预膜</w:t>
            </w:r>
          </w:p>
        </w:tc>
        <w:tc>
          <w:tcPr>
            <w:tcW w:w="373"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LSBLG1740/MF</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3 </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台</w:t>
            </w:r>
          </w:p>
        </w:tc>
        <w:tc>
          <w:tcPr>
            <w:tcW w:w="7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4,500.00 </w:t>
            </w:r>
          </w:p>
        </w:tc>
        <w:tc>
          <w:tcPr>
            <w:tcW w:w="77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13,500.00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6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10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冷却水处理</w:t>
            </w:r>
          </w:p>
        </w:tc>
        <w:tc>
          <w:tcPr>
            <w:tcW w:w="373" w:type="pct"/>
            <w:tcBorders>
              <w:top w:val="single" w:color="000000" w:sz="4" w:space="0"/>
              <w:left w:val="nil"/>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2 </w:t>
            </w: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个系统</w:t>
            </w:r>
          </w:p>
        </w:tc>
        <w:tc>
          <w:tcPr>
            <w:tcW w:w="730"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18,500.00 </w:t>
            </w:r>
          </w:p>
        </w:tc>
        <w:tc>
          <w:tcPr>
            <w:tcW w:w="77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37,000.00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477"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不含税小计</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b w:val="0"/>
                <w:bCs w:val="0"/>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noWrap/>
            <w:vAlign w:val="center"/>
          </w:tcPr>
          <w:p>
            <w:pPr>
              <w:jc w:val="right"/>
              <w:rPr>
                <w:rFonts w:hint="eastAsia" w:ascii="宋体" w:hAnsi="宋体" w:eastAsia="宋体" w:cs="宋体"/>
                <w:b w:val="0"/>
                <w:bCs w:val="0"/>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93,000.00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0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477"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税金</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0.06 </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5,580.00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40" w:hRule="atLeast"/>
        </w:trPr>
        <w:tc>
          <w:tcPr>
            <w:tcW w:w="377"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264"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1477" w:type="pct"/>
            <w:gridSpan w:val="2"/>
            <w:tcBorders>
              <w:top w:val="single" w:color="000000" w:sz="4" w:space="0"/>
              <w:left w:val="nil"/>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价税小计</w:t>
            </w:r>
          </w:p>
        </w:tc>
        <w:tc>
          <w:tcPr>
            <w:tcW w:w="419" w:type="pct"/>
            <w:tcBorders>
              <w:top w:val="single" w:color="000000" w:sz="4" w:space="0"/>
              <w:left w:val="single" w:color="000000" w:sz="4" w:space="0"/>
              <w:bottom w:val="single" w:color="000000" w:sz="4" w:space="0"/>
              <w:right w:val="single" w:color="000000" w:sz="4" w:space="0"/>
            </w:tcBorders>
            <w:shd w:val="clear"/>
            <w:noWrap/>
            <w:vAlign w:val="center"/>
          </w:tcPr>
          <w:p>
            <w:pPr>
              <w:jc w:val="center"/>
              <w:rPr>
                <w:rFonts w:hint="eastAsia" w:ascii="宋体" w:hAnsi="宋体" w:eastAsia="宋体" w:cs="宋体"/>
                <w:b w:val="0"/>
                <w:bCs w:val="0"/>
                <w:i w:val="0"/>
                <w:iCs w:val="0"/>
                <w:color w:val="000000"/>
                <w:sz w:val="20"/>
                <w:szCs w:val="20"/>
                <w:u w:val="none"/>
              </w:rPr>
            </w:pPr>
          </w:p>
        </w:tc>
        <w:tc>
          <w:tcPr>
            <w:tcW w:w="400"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b w:val="0"/>
                <w:bCs w:val="0"/>
                <w:i w:val="0"/>
                <w:iCs w:val="0"/>
                <w:color w:val="000000"/>
                <w:sz w:val="20"/>
                <w:szCs w:val="20"/>
                <w:u w:val="none"/>
              </w:rPr>
            </w:pPr>
          </w:p>
        </w:tc>
        <w:tc>
          <w:tcPr>
            <w:tcW w:w="730" w:type="pct"/>
            <w:tcBorders>
              <w:top w:val="single" w:color="000000" w:sz="4" w:space="0"/>
              <w:left w:val="single" w:color="000000" w:sz="4" w:space="0"/>
              <w:bottom w:val="single" w:color="000000" w:sz="4" w:space="0"/>
              <w:right w:val="single" w:color="000000" w:sz="4" w:space="0"/>
            </w:tcBorders>
            <w:shd w:val="clear"/>
            <w:vAlign w:val="center"/>
          </w:tcPr>
          <w:p>
            <w:pPr>
              <w:jc w:val="right"/>
              <w:rPr>
                <w:rFonts w:hint="eastAsia" w:ascii="宋体" w:hAnsi="宋体" w:eastAsia="宋体" w:cs="宋体"/>
                <w:b w:val="0"/>
                <w:bCs w:val="0"/>
                <w:i w:val="0"/>
                <w:iCs w:val="0"/>
                <w:color w:val="000000"/>
                <w:sz w:val="20"/>
                <w:szCs w:val="20"/>
                <w:u w:val="none"/>
              </w:rPr>
            </w:pP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98,580.00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trPr>
        <w:tc>
          <w:tcPr>
            <w:tcW w:w="377"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3</w:t>
            </w:r>
          </w:p>
        </w:tc>
        <w:tc>
          <w:tcPr>
            <w:tcW w:w="1368" w:type="pct"/>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价税总计</w:t>
            </w:r>
          </w:p>
        </w:tc>
        <w:tc>
          <w:tcPr>
            <w:tcW w:w="1923" w:type="pct"/>
            <w:gridSpan w:val="4"/>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壹拾伍万柒仟肆佰玖拾捌元贰角整</w:t>
            </w:r>
          </w:p>
        </w:tc>
        <w:tc>
          <w:tcPr>
            <w:tcW w:w="77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righ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 xml:space="preserve">157,498.20 </w:t>
            </w:r>
          </w:p>
        </w:tc>
        <w:tc>
          <w:tcPr>
            <w:tcW w:w="554" w:type="pct"/>
            <w:tcBorders>
              <w:top w:val="single" w:color="000000" w:sz="4" w:space="0"/>
              <w:left w:val="single" w:color="000000" w:sz="4" w:space="0"/>
              <w:bottom w:val="single" w:color="000000" w:sz="4" w:space="0"/>
              <w:right w:val="single" w:color="000000" w:sz="4" w:space="0"/>
            </w:tcBorders>
            <w:shd w:val="clear"/>
            <w:vAlign w:val="center"/>
          </w:tcPr>
          <w:p>
            <w:pPr>
              <w:rPr>
                <w:rFonts w:hint="eastAsia" w:ascii="黑体" w:hAnsi="宋体" w:eastAsia="黑体" w:cs="黑体"/>
                <w:b w:val="0"/>
                <w:bCs w:val="0"/>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b w:val="0"/>
                <w:bCs w:val="0"/>
                <w:i w:val="0"/>
                <w:iCs w:val="0"/>
                <w:color w:val="000000"/>
                <w:sz w:val="20"/>
                <w:szCs w:val="20"/>
                <w:u w:val="none"/>
              </w:rPr>
            </w:pPr>
            <w:r>
              <w:rPr>
                <w:rFonts w:hint="eastAsia" w:ascii="宋体" w:hAnsi="宋体" w:eastAsia="宋体" w:cs="宋体"/>
                <w:b w:val="0"/>
                <w:bCs w:val="0"/>
                <w:i w:val="0"/>
                <w:iCs w:val="0"/>
                <w:color w:val="000000"/>
                <w:kern w:val="0"/>
                <w:sz w:val="20"/>
                <w:szCs w:val="20"/>
                <w:u w:val="none"/>
                <w:bdr w:val="none" w:color="auto" w:sz="0" w:space="0"/>
                <w:lang w:val="en-US" w:eastAsia="zh-CN" w:bidi="ar"/>
              </w:rPr>
              <w:t>备注：报价范围外的费用另计。</w:t>
            </w:r>
          </w:p>
        </w:tc>
      </w:tr>
    </w:tbl>
    <w:p>
      <w:pPr>
        <w:rPr>
          <w:rFonts w:asciiTheme="minorEastAsia" w:hAnsiTheme="minorEastAsia"/>
          <w:b w:val="0"/>
          <w:bCs w:val="0"/>
          <w:sz w:val="21"/>
          <w:szCs w:val="21"/>
        </w:rPr>
      </w:pPr>
    </w:p>
    <w:p>
      <w:pPr>
        <w:ind w:left="436" w:leftChars="50" w:hanging="316" w:hangingChars="150"/>
        <w:rPr>
          <w:rFonts w:asciiTheme="minorEastAsia" w:hAnsiTheme="minorEastAsia"/>
          <w:b w:val="0"/>
          <w:bCs w:val="0"/>
          <w:sz w:val="21"/>
          <w:szCs w:val="21"/>
        </w:rPr>
      </w:pPr>
      <w:r>
        <w:rPr>
          <w:rFonts w:hint="eastAsia" w:asciiTheme="minorEastAsia" w:hAnsiTheme="minorEastAsia"/>
          <w:sz w:val="21"/>
          <w:szCs w:val="21"/>
        </w:rPr>
        <w:t>八、付款方式：</w:t>
      </w:r>
      <w:r>
        <w:rPr>
          <w:rFonts w:hint="eastAsia" w:asciiTheme="minorEastAsia" w:hAnsiTheme="minorEastAsia"/>
          <w:b w:val="0"/>
          <w:bCs w:val="0"/>
          <w:sz w:val="21"/>
          <w:szCs w:val="21"/>
        </w:rPr>
        <w:t xml:space="preserve">      </w:t>
      </w:r>
    </w:p>
    <w:p>
      <w:pPr>
        <w:ind w:left="436" w:leftChars="50" w:hanging="316" w:hangingChars="150"/>
        <w:rPr>
          <w:rFonts w:asciiTheme="minorEastAsia" w:hAnsiTheme="minorEastAsia"/>
          <w:b w:val="0"/>
          <w:bCs w:val="0"/>
          <w:sz w:val="21"/>
          <w:szCs w:val="21"/>
        </w:rPr>
      </w:pPr>
      <w:r>
        <w:rPr>
          <w:rFonts w:hint="eastAsia" w:asciiTheme="minorEastAsia" w:hAnsiTheme="minorEastAsia"/>
          <w:sz w:val="21"/>
          <w:szCs w:val="21"/>
        </w:rPr>
        <w:t>九．违约责任：</w:t>
      </w:r>
      <w:r>
        <w:rPr>
          <w:rFonts w:hint="eastAsia" w:asciiTheme="minorEastAsia" w:hAnsiTheme="minorEastAsia"/>
          <w:b w:val="0"/>
          <w:bCs w:val="0"/>
          <w:sz w:val="21"/>
          <w:szCs w:val="21"/>
        </w:rPr>
        <w:t>任何一方如未按合同约定履行义务，另一方有权追究违约方相应违约责任。</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hint="eastAsia" w:asciiTheme="minorEastAsia" w:hAnsiTheme="minorEastAsia"/>
          <w:sz w:val="21"/>
          <w:szCs w:val="21"/>
        </w:rPr>
        <w:t>十．争议处理办法：</w:t>
      </w:r>
      <w:r>
        <w:rPr>
          <w:rFonts w:hint="eastAsia" w:asciiTheme="minorEastAsia" w:hAnsiTheme="minorEastAsia"/>
          <w:b w:val="0"/>
          <w:bCs w:val="0"/>
          <w:sz w:val="21"/>
          <w:szCs w:val="21"/>
        </w:rPr>
        <w:t>双方友好协商或按相关法律、法规处理。</w:t>
      </w:r>
    </w:p>
    <w:p>
      <w:pPr>
        <w:rPr>
          <w:rFonts w:asciiTheme="minorEastAsia" w:hAnsiTheme="minorEastAsia"/>
          <w:b w:val="0"/>
          <w:bCs w:val="0"/>
          <w:sz w:val="21"/>
          <w:szCs w:val="21"/>
        </w:rPr>
      </w:pPr>
      <w:r>
        <w:rPr>
          <w:rFonts w:hint="eastAsia" w:asciiTheme="minorEastAsia" w:hAnsiTheme="minorEastAsia"/>
          <w:b w:val="0"/>
          <w:bCs w:val="0"/>
          <w:sz w:val="21"/>
          <w:szCs w:val="21"/>
        </w:rPr>
        <w:t xml:space="preserve"> </w:t>
      </w:r>
      <w:r>
        <w:rPr>
          <w:rFonts w:hint="eastAsia" w:asciiTheme="minorEastAsia" w:hAnsiTheme="minorEastAsia"/>
          <w:sz w:val="21"/>
          <w:szCs w:val="21"/>
        </w:rPr>
        <w:t>十一．其他约定事项：</w:t>
      </w:r>
    </w:p>
    <w:p>
      <w:pPr>
        <w:rPr>
          <w:rFonts w:asciiTheme="minorEastAsia" w:hAnsiTheme="minorEastAsia"/>
          <w:b w:val="0"/>
          <w:bCs w:val="0"/>
          <w:sz w:val="21"/>
          <w:szCs w:val="21"/>
        </w:rPr>
      </w:pPr>
      <w:r>
        <w:rPr>
          <w:rFonts w:asciiTheme="minorEastAsia" w:hAnsiTheme="minorEastAsia"/>
          <w:b w:val="0"/>
          <w:bCs w:val="0"/>
          <w:sz w:val="21"/>
          <w:szCs w:val="21"/>
        </w:rPr>
        <w:t xml:space="preserve"> 1</w:t>
      </w:r>
      <w:r>
        <w:rPr>
          <w:rFonts w:hint="eastAsia" w:asciiTheme="minorEastAsia" w:hAnsiTheme="minorEastAsia"/>
          <w:b w:val="0"/>
          <w:bCs w:val="0"/>
          <w:sz w:val="21"/>
          <w:szCs w:val="21"/>
        </w:rPr>
        <w:t>．未尽事宜由双方友好协商解决。</w:t>
      </w:r>
    </w:p>
    <w:p>
      <w:pPr>
        <w:ind w:left="420" w:hanging="420" w:hangingChars="200"/>
        <w:rPr>
          <w:rFonts w:hint="eastAsia" w:asciiTheme="minorEastAsia" w:hAnsiTheme="minorEastAsia"/>
          <w:b w:val="0"/>
          <w:bCs w:val="0"/>
          <w:sz w:val="21"/>
          <w:szCs w:val="21"/>
        </w:rPr>
      </w:pPr>
      <w:r>
        <w:rPr>
          <w:rFonts w:asciiTheme="minorEastAsia" w:hAnsiTheme="minorEastAsia"/>
          <w:b w:val="0"/>
          <w:bCs w:val="0"/>
          <w:sz w:val="21"/>
          <w:szCs w:val="21"/>
        </w:rPr>
        <w:t xml:space="preserve"> 2</w:t>
      </w:r>
      <w:r>
        <w:rPr>
          <w:rFonts w:hint="eastAsia" w:asciiTheme="minorEastAsia" w:hAnsiTheme="minorEastAsia"/>
          <w:b w:val="0"/>
          <w:bCs w:val="0"/>
          <w:sz w:val="21"/>
          <w:szCs w:val="21"/>
        </w:rPr>
        <w:t>．不可抗力或非我方人员故意或过失造成主机损坏的，维护费用另计。</w:t>
      </w:r>
    </w:p>
    <w:p>
      <w:pPr>
        <w:jc w:val="left"/>
        <w:rPr>
          <w:rFonts w:asciiTheme="minorEastAsia" w:hAnsiTheme="minorEastAsia" w:cstheme="minorEastAsia"/>
          <w:szCs w:val="24"/>
        </w:rPr>
      </w:pPr>
      <w:r>
        <w:rPr>
          <w:rFonts w:hint="eastAsia" w:asciiTheme="minorEastAsia" w:hAnsiTheme="minorEastAsia" w:cstheme="minorEastAsia"/>
          <w:szCs w:val="24"/>
        </w:rPr>
        <w:t>附件一：                螺杆机年度维护保养方案</w:t>
      </w:r>
    </w:p>
    <w:p>
      <w:pPr>
        <w:ind w:left="708" w:hanging="708" w:hangingChars="295"/>
        <w:rPr>
          <w:rFonts w:asciiTheme="minorEastAsia" w:hAnsiTheme="minorEastAsia" w:cstheme="minorEastAsia"/>
          <w:b w:val="0"/>
          <w:bCs w:val="0"/>
          <w:szCs w:val="24"/>
        </w:rPr>
      </w:pPr>
      <w:r>
        <w:rPr>
          <w:rFonts w:hint="eastAsia" w:asciiTheme="minorEastAsia" w:hAnsiTheme="minorEastAsia" w:cstheme="minorEastAsia"/>
          <w:b w:val="0"/>
          <w:bCs w:val="0"/>
          <w:szCs w:val="24"/>
        </w:rPr>
        <w:t>一、螺杆式机组定期检查工作内容</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对运行记录判读分析，指出不正常数据，并作相应改善建议</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检视冷媒与冷冻油是否有泄露迹象</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检视冷媒系统有无明显不正常温度及压力</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检查容量控制是否正常，电子膨胀阀工作情况是否良好</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机组运行电压及电流是否正常</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控制系统功能是否均正常，必要时进行调整</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电源与控制线是否坚固清洁</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机组有无异常之噪音及震动</w:t>
      </w:r>
      <w:r>
        <w:rPr>
          <w:rFonts w:hint="eastAsia" w:asciiTheme="minorEastAsia" w:hAnsiTheme="minorEastAsia" w:cstheme="minorEastAsia"/>
          <w:b w:val="0"/>
          <w:bCs w:val="0"/>
          <w:szCs w:val="24"/>
          <w:lang w:eastAsia="zh-CN"/>
        </w:rPr>
        <w:t>；</w:t>
      </w:r>
    </w:p>
    <w:p>
      <w:pPr>
        <w:numPr>
          <w:ilvl w:val="0"/>
          <w:numId w:val="4"/>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机组运行时水温水压是否正常</w:t>
      </w:r>
      <w:r>
        <w:rPr>
          <w:rFonts w:hint="eastAsia" w:asciiTheme="minorEastAsia" w:hAnsiTheme="minorEastAsia" w:cstheme="minorEastAsia"/>
          <w:b w:val="0"/>
          <w:bCs w:val="0"/>
          <w:szCs w:val="24"/>
          <w:lang w:eastAsia="zh-CN"/>
        </w:rPr>
        <w:t>；</w:t>
      </w:r>
    </w:p>
    <w:p>
      <w:pPr>
        <w:tabs>
          <w:tab w:val="right" w:pos="8306"/>
        </w:tabs>
        <w:rPr>
          <w:rFonts w:asciiTheme="minorEastAsia" w:hAnsiTheme="minorEastAsia" w:cstheme="minorEastAsia"/>
          <w:b w:val="0"/>
          <w:bCs w:val="0"/>
          <w:szCs w:val="24"/>
        </w:rPr>
      </w:pPr>
      <w:r>
        <w:rPr>
          <w:rFonts w:hint="eastAsia" w:asciiTheme="minorEastAsia" w:hAnsiTheme="minorEastAsia" w:cstheme="minorEastAsia"/>
          <w:b w:val="0"/>
          <w:bCs w:val="0"/>
          <w:szCs w:val="24"/>
        </w:rPr>
        <w:t>10.提交检查报告或建议交业主验收。</w:t>
      </w:r>
    </w:p>
    <w:p>
      <w:pPr>
        <w:tabs>
          <w:tab w:val="right" w:pos="8306"/>
        </w:tabs>
        <w:ind w:left="600" w:hanging="600" w:hangingChars="250"/>
        <w:rPr>
          <w:rFonts w:asciiTheme="minorEastAsia" w:hAnsiTheme="minorEastAsia" w:cstheme="minorEastAsia"/>
          <w:b w:val="0"/>
          <w:bCs w:val="0"/>
          <w:szCs w:val="24"/>
        </w:rPr>
      </w:pPr>
      <w:r>
        <w:rPr>
          <w:rFonts w:hint="eastAsia" w:asciiTheme="minorEastAsia" w:hAnsiTheme="minorEastAsia" w:cstheme="minorEastAsia"/>
          <w:b w:val="0"/>
          <w:bCs w:val="0"/>
          <w:szCs w:val="24"/>
        </w:rPr>
        <w:t>二、螺杆式机组年度保养工作内容</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1．冷媒系统：</w:t>
      </w:r>
    </w:p>
    <w:p>
      <w:pPr>
        <w:numPr>
          <w:ilvl w:val="0"/>
          <w:numId w:val="5"/>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机组冷媒系统全面查漏</w:t>
      </w:r>
      <w:r>
        <w:rPr>
          <w:rFonts w:hint="eastAsia" w:asciiTheme="minorEastAsia" w:hAnsiTheme="minorEastAsia" w:cstheme="minorEastAsia"/>
          <w:b w:val="0"/>
          <w:bCs w:val="0"/>
          <w:szCs w:val="24"/>
          <w:lang w:eastAsia="zh-CN"/>
        </w:rPr>
        <w:t>；</w:t>
      </w:r>
    </w:p>
    <w:p>
      <w:pPr>
        <w:numPr>
          <w:ilvl w:val="0"/>
          <w:numId w:val="5"/>
        </w:numPr>
        <w:rPr>
          <w:rFonts w:asciiTheme="minorEastAsia" w:hAnsiTheme="minorEastAsia" w:cstheme="minorEastAsia"/>
          <w:b w:val="0"/>
          <w:bCs w:val="0"/>
          <w:szCs w:val="24"/>
        </w:rPr>
      </w:pPr>
      <w:r>
        <w:rPr>
          <w:rFonts w:hint="eastAsia" w:asciiTheme="minorEastAsia" w:hAnsiTheme="minorEastAsia" w:cstheme="minorEastAsia"/>
          <w:b w:val="0"/>
          <w:bCs w:val="0"/>
          <w:szCs w:val="24"/>
        </w:rPr>
        <w:t>更换系统干燥过滤器</w:t>
      </w:r>
      <w:r>
        <w:rPr>
          <w:rFonts w:hint="eastAsia" w:asciiTheme="minorEastAsia" w:hAnsiTheme="minorEastAsia" w:cstheme="minorEastAsia"/>
          <w:b w:val="0"/>
          <w:bCs w:val="0"/>
          <w:szCs w:val="24"/>
          <w:lang w:eastAsia="zh-CN"/>
        </w:rPr>
        <w:t>；</w:t>
      </w:r>
    </w:p>
    <w:p>
      <w:pPr>
        <w:numPr>
          <w:ilvl w:val="0"/>
          <w:numId w:val="5"/>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检查安全阀有无腐蚀、生锈、集灰、结垢、泄漏。</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2．冷冻油系统：</w:t>
      </w:r>
    </w:p>
    <w:p>
      <w:pPr>
        <w:numPr>
          <w:ilvl w:val="0"/>
          <w:numId w:val="6"/>
        </w:numPr>
        <w:rPr>
          <w:rFonts w:asciiTheme="minorEastAsia" w:hAnsiTheme="minorEastAsia" w:cstheme="minorEastAsia"/>
          <w:b w:val="0"/>
          <w:bCs w:val="0"/>
          <w:szCs w:val="24"/>
        </w:rPr>
      </w:pPr>
      <w:r>
        <w:rPr>
          <w:rFonts w:hint="eastAsia" w:asciiTheme="minorEastAsia" w:hAnsiTheme="minorEastAsia" w:cstheme="minorEastAsia"/>
          <w:b w:val="0"/>
          <w:bCs w:val="0"/>
          <w:szCs w:val="24"/>
        </w:rPr>
        <w:t>更换油过滤器（压降应小于2.1bar）。</w:t>
      </w:r>
    </w:p>
    <w:p>
      <w:pPr>
        <w:numPr>
          <w:ilvl w:val="0"/>
          <w:numId w:val="6"/>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检查润滑油系统单向阀与电磁阀（压降应小于0.4bar）。</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3．热交换器检查和清理：</w:t>
      </w:r>
    </w:p>
    <w:p>
      <w:pPr>
        <w:numPr>
          <w:ilvl w:val="0"/>
          <w:numId w:val="7"/>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检查所有热交换器腐蚀结垢情形，必要时提出相应处理建议。</w:t>
      </w:r>
    </w:p>
    <w:p>
      <w:pPr>
        <w:numPr>
          <w:ilvl w:val="0"/>
          <w:numId w:val="7"/>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检查所有热交换器之温度传感器是否正常。</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4．电器及控制：</w:t>
      </w:r>
    </w:p>
    <w:p>
      <w:pPr>
        <w:numPr>
          <w:ilvl w:val="0"/>
          <w:numId w:val="8"/>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检查电机绝缘是否良好。</w:t>
      </w:r>
    </w:p>
    <w:p>
      <w:pPr>
        <w:numPr>
          <w:ilvl w:val="0"/>
          <w:numId w:val="8"/>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检查任何电路有无松脱或过热现象，必要时作相应处理。</w:t>
      </w:r>
    </w:p>
    <w:p>
      <w:pPr>
        <w:numPr>
          <w:ilvl w:val="0"/>
          <w:numId w:val="8"/>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检查调校各压力、温度、液位传感器：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排气压力传感器。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吸气压力传感器。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油压传感器。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经济器压力传感器。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电机绕组温度传感器。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排气温度传感器。</w:t>
      </w:r>
    </w:p>
    <w:p>
      <w:pPr>
        <w:numPr>
          <w:ilvl w:val="0"/>
          <w:numId w:val="9"/>
        </w:numPr>
        <w:tabs>
          <w:tab w:val="left" w:pos="1080"/>
        </w:tabs>
        <w:rPr>
          <w:rFonts w:asciiTheme="minorEastAsia" w:hAnsiTheme="minorEastAsia" w:cstheme="minorEastAsia"/>
          <w:b w:val="0"/>
          <w:bCs w:val="0"/>
          <w:szCs w:val="24"/>
        </w:rPr>
      </w:pPr>
      <w:r>
        <w:rPr>
          <w:rFonts w:hint="eastAsia" w:asciiTheme="minorEastAsia" w:hAnsiTheme="minorEastAsia" w:cstheme="minorEastAsia"/>
          <w:b w:val="0"/>
          <w:bCs w:val="0"/>
          <w:szCs w:val="24"/>
        </w:rPr>
        <w:t>蒸发器液位传感器。</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5．保养后之再开机调试：</w:t>
      </w:r>
    </w:p>
    <w:p>
      <w:pPr>
        <w:numPr>
          <w:ilvl w:val="0"/>
          <w:numId w:val="10"/>
        </w:numPr>
        <w:rPr>
          <w:rFonts w:asciiTheme="minorEastAsia" w:hAnsiTheme="minorEastAsia" w:cstheme="minorEastAsia"/>
          <w:b w:val="0"/>
          <w:bCs w:val="0"/>
          <w:szCs w:val="24"/>
        </w:rPr>
      </w:pPr>
      <w:r>
        <w:rPr>
          <w:rFonts w:hint="eastAsia" w:asciiTheme="minorEastAsia" w:hAnsiTheme="minorEastAsia" w:cstheme="minorEastAsia"/>
          <w:b w:val="0"/>
          <w:bCs w:val="0"/>
          <w:szCs w:val="24"/>
        </w:rPr>
        <w:t>机组加压查漏、真空除湿。</w:t>
      </w:r>
    </w:p>
    <w:p>
      <w:pPr>
        <w:numPr>
          <w:ilvl w:val="0"/>
          <w:numId w:val="10"/>
        </w:numPr>
        <w:rPr>
          <w:rFonts w:asciiTheme="minorEastAsia" w:hAnsiTheme="minorEastAsia" w:cstheme="minorEastAsia"/>
          <w:b w:val="0"/>
          <w:bCs w:val="0"/>
          <w:szCs w:val="24"/>
        </w:rPr>
      </w:pPr>
      <w:r>
        <w:rPr>
          <w:rFonts w:hint="eastAsia" w:asciiTheme="minorEastAsia" w:hAnsiTheme="minorEastAsia" w:cstheme="minorEastAsia"/>
          <w:b w:val="0"/>
          <w:bCs w:val="0"/>
          <w:szCs w:val="24"/>
        </w:rPr>
        <w:t>控制系统模拟测试。</w:t>
      </w:r>
    </w:p>
    <w:p>
      <w:pPr>
        <w:numPr>
          <w:ilvl w:val="0"/>
          <w:numId w:val="10"/>
        </w:numPr>
        <w:rPr>
          <w:rFonts w:asciiTheme="minorEastAsia" w:hAnsiTheme="minorEastAsia" w:cstheme="minorEastAsia"/>
          <w:b w:val="0"/>
          <w:bCs w:val="0"/>
          <w:szCs w:val="24"/>
        </w:rPr>
      </w:pPr>
      <w:r>
        <w:rPr>
          <w:rFonts w:hint="eastAsia" w:asciiTheme="minorEastAsia" w:hAnsiTheme="minorEastAsia" w:cstheme="minorEastAsia"/>
          <w:b w:val="0"/>
          <w:bCs w:val="0"/>
          <w:szCs w:val="24"/>
        </w:rPr>
        <w:t>开机运行调校机组：</w:t>
      </w:r>
    </w:p>
    <w:p>
      <w:pPr>
        <w:numPr>
          <w:ilvl w:val="0"/>
          <w:numId w:val="11"/>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检查冷媒量，必要时建议补充。</w:t>
      </w:r>
    </w:p>
    <w:p>
      <w:pPr>
        <w:numPr>
          <w:ilvl w:val="0"/>
          <w:numId w:val="11"/>
        </w:numPr>
        <w:rPr>
          <w:rFonts w:asciiTheme="minorEastAsia" w:hAnsiTheme="minorEastAsia" w:cstheme="minorEastAsia"/>
          <w:b w:val="0"/>
          <w:bCs w:val="0"/>
          <w:szCs w:val="24"/>
        </w:rPr>
      </w:pPr>
      <w:r>
        <w:rPr>
          <w:rFonts w:hint="eastAsia" w:asciiTheme="minorEastAsia" w:hAnsiTheme="minorEastAsia" w:cstheme="minorEastAsia"/>
          <w:b w:val="0"/>
          <w:bCs w:val="0"/>
          <w:szCs w:val="24"/>
        </w:rPr>
        <w:t>检查冷冻油，必要时建议补充。</w:t>
      </w:r>
    </w:p>
    <w:p>
      <w:pPr>
        <w:rPr>
          <w:rFonts w:asciiTheme="minorEastAsia" w:hAnsiTheme="minorEastAsia" w:cstheme="minorEastAsia"/>
          <w:b w:val="0"/>
          <w:bCs w:val="0"/>
          <w:szCs w:val="24"/>
        </w:rPr>
      </w:pPr>
      <w:r>
        <w:rPr>
          <w:rFonts w:hint="eastAsia" w:asciiTheme="minorEastAsia" w:hAnsiTheme="minorEastAsia" w:cstheme="minorEastAsia"/>
          <w:b w:val="0"/>
          <w:bCs w:val="0"/>
          <w:szCs w:val="24"/>
        </w:rPr>
        <w:t>6．提交运行记录与保养验收报告，必要时对操作人员进行操作培训。</w:t>
      </w:r>
    </w:p>
    <w:p>
      <w:pPr>
        <w:jc w:val="left"/>
        <w:outlineLvl w:val="1"/>
        <w:rPr>
          <w:rFonts w:asciiTheme="minorEastAsia" w:hAnsiTheme="minorEastAsia" w:cstheme="minorEastAsia"/>
          <w:b w:val="0"/>
          <w:bCs w:val="0"/>
          <w:szCs w:val="24"/>
        </w:rPr>
      </w:pPr>
      <w:r>
        <w:rPr>
          <w:rFonts w:hint="eastAsia" w:asciiTheme="minorEastAsia" w:hAnsiTheme="minorEastAsia" w:cstheme="minorEastAsia"/>
          <w:b w:val="0"/>
          <w:bCs w:val="0"/>
          <w:szCs w:val="24"/>
        </w:rPr>
        <w:t xml:space="preserve">  </w:t>
      </w:r>
    </w:p>
    <w:p>
      <w:pPr>
        <w:rPr>
          <w:rFonts w:hint="eastAsia" w:asciiTheme="minorEastAsia" w:hAnsiTheme="minorEastAsia" w:eastAsiaTheme="minorEastAsia" w:cstheme="minorEastAsia"/>
          <w:b w:val="0"/>
          <w:bCs w:val="0"/>
          <w:szCs w:val="21"/>
        </w:rPr>
      </w:pPr>
      <w:r>
        <w:rPr>
          <w:rFonts w:hint="eastAsia" w:asciiTheme="minorEastAsia" w:hAnsiTheme="minorEastAsia" w:cstheme="minorEastAsia"/>
          <w:szCs w:val="24"/>
        </w:rPr>
        <w:t xml:space="preserve">附件二：     </w:t>
      </w:r>
      <w:r>
        <w:rPr>
          <w:rFonts w:hint="eastAsia" w:asciiTheme="minorEastAsia" w:hAnsiTheme="minorEastAsia" w:cstheme="minorEastAsia"/>
          <w:szCs w:val="24"/>
          <w:lang w:val="en-US" w:eastAsia="zh-CN"/>
        </w:rPr>
        <w:t xml:space="preserve">       </w:t>
      </w:r>
      <w:r>
        <w:rPr>
          <w:rFonts w:hint="eastAsia" w:asciiTheme="minorEastAsia" w:hAnsiTheme="minorEastAsia" w:eastAsiaTheme="minorEastAsia" w:cstheme="minorEastAsia"/>
          <w:b w:val="0"/>
          <w:bCs w:val="0"/>
          <w:szCs w:val="21"/>
        </w:rPr>
        <w:t>离心式机组定期检查工序</w:t>
      </w:r>
    </w:p>
    <w:p>
      <w:pPr>
        <w:rPr>
          <w:rFonts w:hint="eastAsia" w:asciiTheme="minorEastAsia" w:hAnsiTheme="minorEastAsia" w:eastAsiaTheme="minorEastAsia" w:cstheme="minorEastAsia"/>
          <w:b w:val="0"/>
          <w:bCs w:val="0"/>
          <w:szCs w:val="21"/>
        </w:rPr>
      </w:pP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检查机组运行情况，记录分析运行工况；</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检查压缩机润滑油的油位及颜色。</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检查供油油压、油压差、油温及油冷却膨胀阀工作情况，如有必</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要补充润滑油。</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检查油泵与主机起、停时差。</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检查机组是否有异常噪音及震动。</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检查冷冻水设定点，冷冻水温度LID模组显示与实际出水温度</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进行比较，确定是否须作调整。</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检查蒸发温度、冷凝温度与对应的冷冻水和冷却水进出水温差。</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检查机组的气密性。</w:t>
      </w:r>
    </w:p>
    <w:p>
      <w:pPr>
        <w:numPr>
          <w:ilvl w:val="0"/>
          <w:numId w:val="12"/>
        </w:num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检查压缩机电机实际电流并与机组电力需求进行比较，确定是否</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须作调整。</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10．检查导叶执行机构工作情况。</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11．如有可能检查热气旁通机构的工作情况。</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12．检查机组供电电压。</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13．检查机组参数设定。</w:t>
      </w:r>
    </w:p>
    <w:p>
      <w:pP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14．提供机组定期检查报告。</w:t>
      </w:r>
    </w:p>
    <w:p>
      <w:pPr>
        <w:tabs>
          <w:tab w:val="left" w:pos="4700"/>
        </w:tabs>
        <w:rPr>
          <w:rFonts w:hint="eastAsia" w:asciiTheme="minorEastAsia" w:hAnsiTheme="minorEastAsia" w:eastAsiaTheme="minorEastAsia" w:cstheme="minorEastAsia"/>
          <w:b w:val="0"/>
          <w:bCs w:val="0"/>
          <w:szCs w:val="21"/>
        </w:rPr>
      </w:pPr>
    </w:p>
    <w:p>
      <w:pPr>
        <w:spacing w:line="380" w:lineRule="exact"/>
        <w:jc w:val="center"/>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离心式机组年度保养工序</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使用泵出机构将制冷剂转移至冷凝器</w:t>
      </w:r>
      <w:r>
        <w:rPr>
          <w:rFonts w:hint="eastAsia" w:asciiTheme="minorEastAsia" w:hAnsiTheme="minorEastAsia" w:cstheme="minorEastAsia"/>
          <w:b w:val="0"/>
          <w:bCs w:val="0"/>
          <w:szCs w:val="21"/>
          <w:lang w:val="en-US" w:eastAsia="zh-CN"/>
        </w:rPr>
        <w:t>或不断电保持温</w:t>
      </w:r>
      <w:r>
        <w:rPr>
          <w:rFonts w:hint="eastAsia" w:asciiTheme="minorEastAsia" w:hAnsiTheme="minorEastAsia" w:eastAsiaTheme="minorEastAsia" w:cstheme="minorEastAsia"/>
          <w:b w:val="0"/>
          <w:bCs w:val="0"/>
          <w:szCs w:val="21"/>
        </w:rPr>
        <w:t>。</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排出压缩机润滑油油槽中的冷冻油。</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拆卸润滑油泵进行检查、清洗，更换油过滤器。</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清洗润滑油泵、油槽，安装油泵。</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检查油系统回路和油冷却系统，更换回油过滤器和引射过滤器。</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更换压缩机润滑油。</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检查制冷剂冷却系统回路，更换制冷过滤器。</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拆卸冷凝器水室盖板，清洗冷凝器传热管。（机械清洗）</w:t>
      </w:r>
    </w:p>
    <w:p>
      <w:pPr>
        <w:numPr>
          <w:ilvl w:val="0"/>
          <w:numId w:val="13"/>
        </w:numPr>
        <w:tabs>
          <w:tab w:val="left" w:pos="360"/>
          <w:tab w:val="left" w:pos="465"/>
        </w:tabs>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安装冷凝器水室盖板。</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10．  蒸发器系统压力泄漏试验。</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11．  蒸发器系统抽湿抽真空并进行真空试验。</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12．  平衡系统制冷剂压力。</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13．  测试压缩机电机，油泵电机绝缘情况。</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14．  检查导叶执行机构工作情况。</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15．  检查和清理启动柜。</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16．  检查和清理控制柜。</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17．  检查和清理动力盘。</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18．  通过CVC（LID）模块检查机组各控制点和设定点。</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19.   通过CVC（LID）模块检查机组对运行报警记录作出分析并作相应处理。</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20．  通过测量温度的传感器的电压和电阻确定其准确性。</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21．  检查并校正压力传感器的准确性。</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22．  进行自动控制测试：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包括：a.电脑模块测试。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b.各压力和温度传感器。</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c.油泵和水泵（如接入主机）自动控制</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d.导叶启闭测试。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 xml:space="preserve">            e.数字量输出测试。</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23．  清洁机组外表面及工作场地。</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24．  如情况许可，机组进行试运行。</w:t>
      </w:r>
    </w:p>
    <w:p>
      <w:pPr>
        <w:spacing w:line="380" w:lineRule="exact"/>
        <w:rPr>
          <w:rFonts w:hint="eastAsia" w:asciiTheme="minorEastAsia" w:hAnsiTheme="minorEastAsia" w:eastAsiaTheme="minorEastAsia" w:cstheme="minorEastAsia"/>
          <w:b w:val="0"/>
          <w:bCs w:val="0"/>
          <w:szCs w:val="21"/>
        </w:rPr>
      </w:pPr>
      <w:r>
        <w:rPr>
          <w:rFonts w:hint="eastAsia" w:asciiTheme="minorEastAsia" w:hAnsiTheme="minorEastAsia" w:eastAsiaTheme="minorEastAsia" w:cstheme="minorEastAsia"/>
          <w:b w:val="0"/>
          <w:bCs w:val="0"/>
          <w:szCs w:val="21"/>
        </w:rPr>
        <w:t>25．  提供机组年度保养报告。</w:t>
      </w:r>
    </w:p>
    <w:p>
      <w:pPr>
        <w:tabs>
          <w:tab w:val="left" w:pos="1800"/>
        </w:tabs>
        <w:spacing w:line="360" w:lineRule="exact"/>
        <w:rPr>
          <w:rStyle w:val="20"/>
          <w:rFonts w:hint="eastAsia" w:ascii="宋体" w:hAnsi="宋体" w:eastAsia="宋体" w:cs="宋体"/>
          <w:b w:val="0"/>
          <w:bCs w:val="0"/>
          <w:color w:val="333333"/>
          <w:szCs w:val="21"/>
        </w:rPr>
      </w:pPr>
    </w:p>
    <w:p>
      <w:pPr>
        <w:tabs>
          <w:tab w:val="left" w:pos="1800"/>
        </w:tabs>
        <w:spacing w:line="360" w:lineRule="exact"/>
        <w:ind w:left="-204" w:leftChars="-85"/>
        <w:rPr>
          <w:rStyle w:val="21"/>
          <w:rFonts w:hint="eastAsia" w:ascii="宋体" w:hAnsi="宋体" w:eastAsia="宋体" w:cs="宋体"/>
          <w:b w:val="0"/>
          <w:bCs w:val="0"/>
          <w:color w:val="333333"/>
          <w:szCs w:val="21"/>
        </w:rPr>
      </w:pPr>
      <w:r>
        <w:rPr>
          <w:rStyle w:val="21"/>
          <w:rFonts w:hint="eastAsia" w:ascii="宋体" w:hAnsi="宋体" w:eastAsia="宋体" w:cs="宋体"/>
          <w:b w:val="0"/>
          <w:bCs w:val="0"/>
          <w:color w:val="333333"/>
          <w:szCs w:val="21"/>
        </w:rPr>
        <w:t> </w:t>
      </w:r>
    </w:p>
    <w:p>
      <w:pPr>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附件三：                  中</w:t>
      </w:r>
      <w:r>
        <w:rPr>
          <w:rFonts w:hint="eastAsia" w:ascii="宋体" w:hAnsi="宋体" w:eastAsia="宋体" w:cs="宋体"/>
          <w:b/>
          <w:bCs/>
          <w:sz w:val="24"/>
          <w:szCs w:val="24"/>
        </w:rPr>
        <w:t>央空调系统清洗预膜方案</w:t>
      </w:r>
    </w:p>
    <w:p>
      <w:pPr>
        <w:pStyle w:val="2"/>
        <w:rPr>
          <w:rFonts w:hint="eastAsia"/>
        </w:rPr>
      </w:pP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592" w:firstLineChars="247"/>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清洗预膜处理的目的是为了清除掉积攒在管道内壁、填料表面的灰尘、死掉的藻类及粘泥，在设备及管路表面上尽快的形成一个防腐皮膜以减轻设备以后运转中的腐蚀。现简要说明及制定方案如下：</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系统清洗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w:t>
      </w:r>
      <w:r>
        <w:rPr>
          <w:rFonts w:hint="eastAsia" w:ascii="宋体" w:hAnsi="宋体" w:eastAsia="宋体" w:cs="宋体"/>
          <w:b w:val="0"/>
          <w:bCs w:val="0"/>
          <w:sz w:val="24"/>
          <w:szCs w:val="24"/>
          <w:lang w:val="en-US" w:eastAsia="zh-CN"/>
        </w:rPr>
        <w:t>的必要性</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600" w:firstLineChars="25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工作被称为循环水系统化学处理的预处理。对于新系统来说设备和管道的安装过程中，难免会有碎屑、杂物和尘土留在系统之中，有时冷却设备的锈蚀和油污也很严重，这些杂物和油污如不清洗干净，将会影响下一步的预膜处理。因此，清洗工作做得好，对系统来说，可以提高预膜效果，减少腐蚀和结垢的产生，所以，清洗预膜是系统投入使用前必不可少的一个环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二、</w:t>
      </w:r>
      <w:r>
        <w:rPr>
          <w:rFonts w:hint="eastAsia" w:ascii="宋体" w:hAnsi="宋体" w:eastAsia="宋体" w:cs="宋体"/>
          <w:b w:val="0"/>
          <w:bCs w:val="0"/>
          <w:sz w:val="24"/>
          <w:szCs w:val="24"/>
        </w:rPr>
        <w:t>清洗</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预膜处理效果</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预膜处理的先决条件是金属表面清洁无沉积物。故所有系统必须在清洗之后再进行预膜，这样才能使防护膜均匀致密、附着牢固，发挥较好的缓蚀效果，从而延长系统管路及设备的使用寿命。</w:t>
      </w:r>
    </w:p>
    <w:p>
      <w:pPr>
        <w:pStyle w:val="10"/>
        <w:keepNext w:val="0"/>
        <w:keepLines w:val="0"/>
        <w:pageBreakBefore w:val="0"/>
        <w:widowControl w:val="0"/>
        <w:kinsoku/>
        <w:wordWrap/>
        <w:overflowPunct/>
        <w:topLinePunct w:val="0"/>
        <w:autoSpaceDE/>
        <w:autoSpaceDN/>
        <w:bidi w:val="0"/>
        <w:adjustRightInd/>
        <w:snapToGrid/>
        <w:spacing w:line="0" w:lineRule="atLeast"/>
        <w:ind w:left="0" w:leftChars="0"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系统中预膜的效果一般不易观察到。检查预膜效果一般是根据对挂片的肉眼判断，质量好的膜看起来均匀致密，有蓝色的色晕。我公司在进行预膜时会在系统内悬挂挂片，进行检测预膜效果。</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三、清洗预膜处理原理</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当水中有一定浓度的钙离子时，带负电荷的直链聚磷酸根离子与Ca</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整合形成胶溶状态的络合离子。而腐蚀过程中，阳极反应的产物Fe</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向阴极扩散移动，产生一定的腐蚀电流，当胶溶状态的带正电荷的聚磷酸钙络离子到达金属表面，再与Fe</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结合，生成以聚磷酸钙铁为主要成分的络合离子，依靠腐蚀电流沉积于阴极表面，形成沉淀保护膜。如果水中没有钙离子或浓度太低，就不能形成或不能很好地形成带正电荷的聚磷酸钙胶状粒子，不能形成良好的保护膜而导致预膜效果的下降。故预膜液中的钙离子浓度应控制在100mg/L左后为宜。工艺流程如下:</w:t>
      </w: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用清水置换至合格后（水中总铁浓度接近1mg/L），加入复合型预膜剂，浓度为2000～3000mg/L，冷态预膜24～48小时。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四、清洗预膜的施工工艺</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1、第一遍水清洗系统注満水后运行2小时后排空进行；</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2、进入化学清洗系统注満水后加入缓蚀剂循环1小时；</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3、投加清洗剂、</w:t>
      </w:r>
      <w:r>
        <w:rPr>
          <w:rFonts w:hint="eastAsia" w:ascii="宋体" w:hAnsi="宋体" w:eastAsia="宋体" w:cs="宋体"/>
          <w:b w:val="0"/>
          <w:bCs w:val="0"/>
          <w:sz w:val="24"/>
          <w:szCs w:val="24"/>
          <w:lang w:val="en-US" w:eastAsia="zh-CN"/>
        </w:rPr>
        <w:t>粘泥剥离剂</w:t>
      </w:r>
      <w:r>
        <w:rPr>
          <w:rFonts w:hint="eastAsia" w:ascii="宋体" w:hAnsi="宋体" w:eastAsia="宋体" w:cs="宋体"/>
          <w:b w:val="0"/>
          <w:bCs w:val="0"/>
          <w:sz w:val="24"/>
          <w:szCs w:val="24"/>
        </w:rPr>
        <w:t>进行循环4-6小时，随时进行检测水中PH值变化；</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4、清洗结束后排水，重新注满水进行漂洗1-2次；</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5、投加预膜剂循环48小时，排水；</w:t>
      </w:r>
    </w:p>
    <w:p>
      <w:pPr>
        <w:keepNext w:val="0"/>
        <w:keepLines w:val="0"/>
        <w:pageBreakBefore w:val="0"/>
        <w:widowControl w:val="0"/>
        <w:kinsoku/>
        <w:wordWrap/>
        <w:overflowPunct/>
        <w:topLinePunct w:val="0"/>
        <w:autoSpaceDE/>
        <w:autoSpaceDN/>
        <w:bidi w:val="0"/>
        <w:adjustRightInd/>
        <w:snapToGrid/>
        <w:spacing w:line="0" w:lineRule="atLeast"/>
        <w:textAlignment w:val="auto"/>
        <w:outlineLvl w:val="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6、预膜结束后打开各套系统的主管道过滤器将清洗污物清除；</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7、恢复过滤器，系统可投入正常使用。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五、新系统清洗预膜药剂名称、用途及投加量</w:t>
      </w:r>
    </w:p>
    <w:tbl>
      <w:tblPr>
        <w:tblStyle w:val="13"/>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3"/>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药剂名称</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药剂作用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缓蚀剂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清洗过程中防止对设备过度腐蚀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清洗剂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剥离、清除管路铁锈及污垢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粘泥剥离剂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剥离管路及设备内部的粘泥及菌藻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3493"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预膜剂</w:t>
            </w:r>
          </w:p>
        </w:tc>
        <w:tc>
          <w:tcPr>
            <w:tcW w:w="5986" w:type="dxa"/>
            <w:noWrap w:val="0"/>
            <w:vAlign w:val="top"/>
          </w:tcPr>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管路预膜减缓运转过程中的腐蚀现象为水处理做好基础</w:t>
            </w:r>
          </w:p>
        </w:tc>
      </w:tr>
    </w:tbl>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六、技术标准</w:t>
      </w:r>
    </w:p>
    <w:p>
      <w:pPr>
        <w:keepNext w:val="0"/>
        <w:keepLines w:val="0"/>
        <w:pageBreakBefore w:val="0"/>
        <w:widowControl w:val="0"/>
        <w:kinsoku/>
        <w:wordWrap/>
        <w:overflowPunct/>
        <w:topLinePunct w:val="0"/>
        <w:autoSpaceDE/>
        <w:autoSpaceDN/>
        <w:bidi w:val="0"/>
        <w:adjustRightInd/>
        <w:snapToGrid/>
        <w:spacing w:line="0" w:lineRule="atLeast"/>
        <w:ind w:left="48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清洗标准：碳钢≤0.125mm/a</w:t>
      </w:r>
    </w:p>
    <w:p>
      <w:pPr>
        <w:keepNext w:val="0"/>
        <w:keepLines w:val="0"/>
        <w:pageBreakBefore w:val="0"/>
        <w:widowControl w:val="0"/>
        <w:kinsoku/>
        <w:wordWrap/>
        <w:overflowPunct/>
        <w:topLinePunct w:val="0"/>
        <w:autoSpaceDE/>
        <w:autoSpaceDN/>
        <w:bidi w:val="0"/>
        <w:adjustRightInd/>
        <w:snapToGrid/>
        <w:spacing w:line="0" w:lineRule="atLeast"/>
        <w:ind w:firstLine="1680" w:firstLineChars="7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铜及合金≤0.005mm/a</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七、施工工期：预计</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八、受影响区域及受影响时间、维护措施</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受影响区域：冷却塔及地下空调机房，除系统内部其他区域不受影响。</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受影响时间：预计3～5天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维护措施：我公司提供药剂全部密封，运输过程中不会产生渗漏；</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如运输路段有地毯及地板我公司会采取相应的保护措施；</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投加药剂人员全部经过培训，投加过程中不断进行水质监测；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我公司配备专业管理人员进行现场沟通及工作调配人员施工；</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我公司对所有施工人员进行人身意外保险；</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如现场出现意外，我公司接到通知后4小时内赶赴现场解决问题。</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九、服务内容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1、提供清洗、预膜的所有药剂；</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2、免费运输到使用地点；</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3、进行投加药剂及药剂浓度检测；</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4、清理主管道过滤器；</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5、保证清洗预膜效果最佳；</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6、如实际使用药剂超出计算药剂数量，我公司承诺免费提供不增加现有费用。                              </w:t>
      </w: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十、施工工期：</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天</w:t>
      </w:r>
    </w:p>
    <w:p>
      <w:pPr>
        <w:pStyle w:val="2"/>
        <w:rPr>
          <w:rFonts w:hint="eastAsia" w:ascii="宋体" w:hAnsi="宋体" w:eastAsia="宋体" w:cs="宋体"/>
          <w:b w:val="0"/>
          <w:bCs w:val="0"/>
          <w:sz w:val="24"/>
          <w:szCs w:val="24"/>
        </w:rPr>
      </w:pPr>
    </w:p>
    <w:p>
      <w:pPr>
        <w:jc w:val="both"/>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 xml:space="preserve">附件四：                 </w:t>
      </w:r>
      <w:r>
        <w:rPr>
          <w:rFonts w:hint="eastAsia" w:ascii="宋体" w:hAnsi="宋体" w:eastAsia="宋体" w:cs="宋体"/>
          <w:b/>
          <w:bCs/>
          <w:color w:val="000000"/>
          <w:sz w:val="24"/>
          <w:szCs w:val="24"/>
        </w:rPr>
        <w:t>中央空调循环系统水处理</w:t>
      </w:r>
    </w:p>
    <w:p>
      <w:pPr>
        <w:pStyle w:val="2"/>
        <w:rPr>
          <w:rFonts w:hint="eastAsia"/>
        </w:rPr>
      </w:pPr>
    </w:p>
    <w:p>
      <w:pPr>
        <w:keepNext w:val="0"/>
        <w:keepLines w:val="0"/>
        <w:pageBreakBefore w:val="0"/>
        <w:kinsoku/>
        <w:wordWrap/>
        <w:overflowPunct/>
        <w:topLinePunct w:val="0"/>
        <w:bidi w:val="0"/>
        <w:snapToGrid/>
        <w:spacing w:line="0" w:lineRule="atLeast"/>
        <w:jc w:val="both"/>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一、水处理</w:t>
      </w:r>
      <w:r>
        <w:rPr>
          <w:rFonts w:hint="eastAsia" w:ascii="宋体" w:hAnsi="宋体" w:eastAsia="宋体" w:cs="宋体"/>
          <w:b w:val="0"/>
          <w:bCs w:val="0"/>
          <w:color w:val="000000"/>
          <w:sz w:val="24"/>
          <w:szCs w:val="24"/>
        </w:rPr>
        <w:t>施工方案</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在系统主管道（机组进口）处安装自动加药泵，用高压管将泵与储药箱连接；</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rPr>
        <w:t>在系统最低点安装自动排污电磁阀；</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rPr>
        <w:t>用时间继电器分别控制加药泵和排污电磁阀；</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将控制加药泵的时间继电器调至与机组循环泵同步；</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rPr>
        <w:t>排污时间设置为机组开机前，排污时间一次为20分钟左右；由于冷却系统为开放式运行。每天都有灰尘杂质经冷却塔进入系统，同时加入系统的药剂络合钙、镁等离子而形成絮状物质（大分子）停机后均沉淀到系统最低点。所以，排污时间定为系统开启前。</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rPr>
        <w:t>将配置好的药液（阻垢缓蚀剂）装入储药箱内。为开机做好准备。</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7、</w:t>
      </w:r>
      <w:r>
        <w:rPr>
          <w:rFonts w:hint="eastAsia" w:ascii="宋体" w:hAnsi="宋体" w:eastAsia="宋体" w:cs="宋体"/>
          <w:b w:val="0"/>
          <w:bCs w:val="0"/>
          <w:color w:val="000000"/>
          <w:sz w:val="24"/>
          <w:szCs w:val="24"/>
        </w:rPr>
        <w:t>运行期间，技术人员每半月巡视一次，取水样进行检测，在七日内出具化验报告。并及时提供药液。</w:t>
      </w:r>
    </w:p>
    <w:p>
      <w:pPr>
        <w:keepNext w:val="0"/>
        <w:keepLines w:val="0"/>
        <w:pageBreakBefore w:val="0"/>
        <w:numPr>
          <w:ilvl w:val="0"/>
          <w:numId w:val="0"/>
        </w:numPr>
        <w:kinsoku/>
        <w:wordWrap/>
        <w:overflowPunct/>
        <w:topLinePunct w:val="0"/>
        <w:bidi w:val="0"/>
        <w:snapToGrid/>
        <w:spacing w:line="0" w:lineRule="atLeast"/>
        <w:ind w:leftChars="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rPr>
        <w:t>根据检测结果，随时调整药液的配比及加入量。</w:t>
      </w:r>
    </w:p>
    <w:p>
      <w:pPr>
        <w:keepNext w:val="0"/>
        <w:keepLines w:val="0"/>
        <w:pageBreakBefore w:val="0"/>
        <w:kinsoku/>
        <w:wordWrap/>
        <w:overflowPunct/>
        <w:topLinePunct w:val="0"/>
        <w:bidi w:val="0"/>
        <w:snapToGrid/>
        <w:spacing w:line="0" w:lineRule="atLeast"/>
        <w:jc w:val="both"/>
        <w:textAlignment w:val="auto"/>
        <w:rPr>
          <w:rFonts w:hint="eastAsia" w:ascii="宋体" w:hAnsi="宋体" w:eastAsia="宋体" w:cs="宋体"/>
          <w:b w:val="0"/>
          <w:bCs w:val="0"/>
          <w:i/>
          <w:iCs/>
          <w:sz w:val="24"/>
          <w:szCs w:val="24"/>
        </w:rPr>
      </w:pPr>
    </w:p>
    <w:p>
      <w:pPr>
        <w:keepNext w:val="0"/>
        <w:keepLines w:val="0"/>
        <w:pageBreakBefore w:val="0"/>
        <w:numPr>
          <w:ilvl w:val="0"/>
          <w:numId w:val="14"/>
        </w:numPr>
        <w:kinsoku/>
        <w:wordWrap/>
        <w:overflowPunct/>
        <w:topLinePunct w:val="0"/>
        <w:bidi w:val="0"/>
        <w:snapToGrid/>
        <w:spacing w:line="0" w:lineRule="atLeast"/>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i/>
          <w:iCs/>
          <w:sz w:val="24"/>
          <w:szCs w:val="24"/>
        </w:rPr>
        <w:t>GNG</w:t>
      </w:r>
      <w:r>
        <w:rPr>
          <w:rFonts w:hint="eastAsia" w:ascii="宋体" w:hAnsi="宋体" w:eastAsia="宋体" w:cs="宋体"/>
          <w:b w:val="0"/>
          <w:bCs w:val="0"/>
          <w:sz w:val="24"/>
          <w:szCs w:val="24"/>
        </w:rPr>
        <w:t>(绿色无腐蚀)预膜施工方案</w:t>
      </w:r>
      <w:r>
        <w:rPr>
          <w:rFonts w:hint="eastAsia" w:ascii="宋体" w:hAnsi="宋体" w:eastAsia="宋体" w:cs="宋体"/>
          <w:b w:val="0"/>
          <w:bCs w:val="0"/>
          <w:sz w:val="24"/>
          <w:szCs w:val="24"/>
          <w:lang w:eastAsia="zh-CN"/>
        </w:rPr>
        <w:t>：</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系统漂洗</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目的：是将残留在系统内的污水清洗干净为下一步防腐预膜打好基础。</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程序：将整个清洗系统补足新水，运行循环泵，每次漂洗根据具体清洗对象情况掌握循环泵运行的时间(一般1—3小时)，直至水的浊度值不再增加时即可排水。当水的浊度值低于10ppm(预膜时水质标准)为止。</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二</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防腐预膜</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目的：对系统内表面进行预膜处理，防止水解氧对其的氧化腐蚀。</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程序：将整个系统补足新水，向系统内加注聚合预膜剂。预膜期间循环泵运行4—6小时(水温20—40℃左右时)。预膜结束后，将系统内的水排净。</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恢复工作状态</w:t>
      </w:r>
    </w:p>
    <w:p>
      <w:pPr>
        <w:keepNext w:val="0"/>
        <w:keepLines w:val="0"/>
        <w:pageBreakBefore w:val="0"/>
        <w:kinsoku/>
        <w:wordWrap/>
        <w:overflowPunct/>
        <w:topLinePunct w:val="0"/>
        <w:bidi w:val="0"/>
        <w:snapToGrid/>
        <w:spacing w:line="0" w:lineRule="atLeast"/>
        <w:ind w:firstLine="480" w:firstLineChars="20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将系统恢复并注满新水之后，设备系统试运行检查阀门无泄漏，即刻转入正常运行待命状态。</w:t>
      </w:r>
    </w:p>
    <w:p>
      <w:pPr>
        <w:pStyle w:val="2"/>
        <w:rPr>
          <w:rFonts w:hint="eastAsia" w:ascii="宋体" w:hAnsi="宋体" w:eastAsia="宋体" w:cs="宋体"/>
          <w:b w:val="0"/>
          <w:bCs w:val="0"/>
          <w:sz w:val="24"/>
          <w:szCs w:val="24"/>
        </w:rPr>
      </w:pPr>
    </w:p>
    <w:p>
      <w:pPr>
        <w:keepNext w:val="0"/>
        <w:keepLines w:val="0"/>
        <w:pageBreakBefore w:val="0"/>
        <w:kinsoku/>
        <w:wordWrap/>
        <w:overflowPunct/>
        <w:topLinePunct w:val="0"/>
        <w:bidi w:val="0"/>
        <w:snapToGrid/>
        <w:spacing w:line="0" w:lineRule="atLeast"/>
        <w:jc w:val="both"/>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三、</w:t>
      </w:r>
      <w:r>
        <w:rPr>
          <w:rFonts w:hint="eastAsia" w:ascii="宋体" w:hAnsi="宋体" w:eastAsia="宋体" w:cs="宋体"/>
          <w:b w:val="0"/>
          <w:bCs w:val="0"/>
          <w:sz w:val="24"/>
          <w:szCs w:val="24"/>
        </w:rPr>
        <w:t>工程质保承诺</w:t>
      </w:r>
    </w:p>
    <w:p>
      <w:pPr>
        <w:keepNext w:val="0"/>
        <w:keepLines w:val="0"/>
        <w:pageBreakBefore w:val="0"/>
        <w:kinsoku/>
        <w:wordWrap/>
        <w:overflowPunct/>
        <w:topLinePunct w:val="0"/>
        <w:bidi w:val="0"/>
        <w:snapToGrid/>
        <w:spacing w:line="0" w:lineRule="atLeast"/>
        <w:ind w:right="-312"/>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一）</w:t>
      </w:r>
      <w:r>
        <w:rPr>
          <w:rFonts w:hint="eastAsia" w:ascii="宋体" w:hAnsi="宋体" w:eastAsia="宋体" w:cs="宋体"/>
          <w:b w:val="0"/>
          <w:bCs w:val="0"/>
          <w:sz w:val="24"/>
          <w:szCs w:val="24"/>
        </w:rPr>
        <w:t>运行水处理质量指标</w:t>
      </w:r>
    </w:p>
    <w:p>
      <w:pPr>
        <w:keepNext w:val="0"/>
        <w:keepLines w:val="0"/>
        <w:pageBreakBefore w:val="0"/>
        <w:kinsoku/>
        <w:wordWrap/>
        <w:overflowPunct/>
        <w:topLinePunct w:val="0"/>
        <w:bidi w:val="0"/>
        <w:snapToGrid/>
        <w:spacing w:line="0" w:lineRule="atLeast"/>
        <w:ind w:right="-312"/>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1、循环水系统处理指标：</w:t>
      </w:r>
    </w:p>
    <w:p>
      <w:pPr>
        <w:keepNext w:val="0"/>
        <w:keepLines w:val="0"/>
        <w:pageBreakBefore w:val="0"/>
        <w:kinsoku/>
        <w:wordWrap/>
        <w:overflowPunct/>
        <w:topLinePunct w:val="0"/>
        <w:bidi w:val="0"/>
        <w:snapToGrid/>
        <w:spacing w:line="0" w:lineRule="atLeast"/>
        <w:ind w:right="-312" w:firstLine="480" w:firstLineChars="200"/>
        <w:jc w:val="left"/>
        <w:textAlignment w:val="auto"/>
        <w:rPr>
          <w:rFonts w:hint="eastAsia" w:ascii="宋体" w:hAnsi="宋体" w:eastAsia="宋体" w:cs="宋体"/>
          <w:b w:val="0"/>
          <w:bCs w:val="0"/>
          <w:sz w:val="24"/>
          <w:szCs w:val="24"/>
        </w:rPr>
      </w:pPr>
    </w:p>
    <w:tbl>
      <w:tblPr>
        <w:tblStyle w:val="13"/>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2"/>
        <w:gridCol w:w="983"/>
        <w:gridCol w:w="3760"/>
        <w:gridCol w:w="1322"/>
        <w:gridCol w:w="1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项  目</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单  位</w:t>
            </w:r>
          </w:p>
        </w:tc>
        <w:tc>
          <w:tcPr>
            <w:tcW w:w="3760"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要求和使用条件</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企业标准</w:t>
            </w:r>
          </w:p>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允 许 值</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国家标准</w:t>
            </w:r>
          </w:p>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允 许 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642" w:type="dxa"/>
            <w:vMerge w:val="restart"/>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悬浮物（浊度）</w:t>
            </w:r>
          </w:p>
        </w:tc>
        <w:tc>
          <w:tcPr>
            <w:tcW w:w="983" w:type="dxa"/>
            <w:vMerge w:val="restart"/>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根据生产工艺要求确定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≤18</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continue"/>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p>
        </w:tc>
        <w:tc>
          <w:tcPr>
            <w:tcW w:w="983" w:type="dxa"/>
            <w:vMerge w:val="continue"/>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换热设备为板式、翅片管式、螺旋板式</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≤8</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酸碱度</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PH值</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根据药剂配方确定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7.0~9.0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甲基橙碱度</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根据药剂配方及工况条件确定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≤450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Ca</w:t>
            </w:r>
            <w:r>
              <w:rPr>
                <w:rFonts w:hint="eastAsia" w:ascii="宋体" w:hAnsi="宋体" w:eastAsia="宋体" w:cs="宋体"/>
                <w:b w:val="0"/>
                <w:bCs w:val="0"/>
                <w:sz w:val="24"/>
                <w:szCs w:val="24"/>
                <w:vertAlign w:val="superscript"/>
              </w:rPr>
              <w:t>2+</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根据药剂配方及工况条件确定</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30~180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Fe</w:t>
            </w:r>
            <w:r>
              <w:rPr>
                <w:rFonts w:hint="eastAsia" w:ascii="宋体" w:hAnsi="宋体" w:eastAsia="宋体" w:cs="宋体"/>
                <w:b w:val="0"/>
                <w:bCs w:val="0"/>
                <w:sz w:val="24"/>
                <w:szCs w:val="24"/>
                <w:vertAlign w:val="superscript"/>
              </w:rPr>
              <w:t>2+</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＜0.4</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restart"/>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vertAlign w:val="superscript"/>
              </w:rPr>
            </w:pPr>
            <w:r>
              <w:rPr>
                <w:rFonts w:hint="eastAsia" w:ascii="宋体" w:hAnsi="宋体" w:eastAsia="宋体" w:cs="宋体"/>
                <w:b w:val="0"/>
                <w:bCs w:val="0"/>
                <w:sz w:val="24"/>
                <w:szCs w:val="24"/>
              </w:rPr>
              <w:t>Cl</w:t>
            </w:r>
            <w:r>
              <w:rPr>
                <w:rFonts w:hint="eastAsia" w:ascii="宋体" w:hAnsi="宋体" w:eastAsia="宋体" w:cs="宋体"/>
                <w:b w:val="0"/>
                <w:bCs w:val="0"/>
                <w:sz w:val="24"/>
                <w:szCs w:val="24"/>
                <w:vertAlign w:val="superscript"/>
              </w:rPr>
              <w:t>－</w:t>
            </w:r>
          </w:p>
        </w:tc>
        <w:tc>
          <w:tcPr>
            <w:tcW w:w="983" w:type="dxa"/>
            <w:vMerge w:val="restart"/>
            <w:noWrap w:val="0"/>
            <w:vAlign w:val="center"/>
          </w:tcPr>
          <w:p>
            <w:pPr>
              <w:pStyle w:val="7"/>
              <w:keepNext w:val="0"/>
              <w:keepLines w:val="0"/>
              <w:pageBreakBefore w:val="0"/>
              <w:tabs>
                <w:tab w:val="clear" w:pos="4153"/>
                <w:tab w:val="clear" w:pos="8306"/>
              </w:tabs>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碳钢换热设备</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≤900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continue"/>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p>
        </w:tc>
        <w:tc>
          <w:tcPr>
            <w:tcW w:w="983" w:type="dxa"/>
            <w:vMerge w:val="continue"/>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不锈钢换热设备</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≤280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vertAlign w:val="superscript"/>
              </w:rPr>
            </w:pPr>
            <w:r>
              <w:rPr>
                <w:rFonts w:hint="eastAsia" w:ascii="宋体" w:hAnsi="宋体" w:eastAsia="宋体" w:cs="宋体"/>
                <w:b w:val="0"/>
                <w:bCs w:val="0"/>
                <w:sz w:val="24"/>
                <w:szCs w:val="24"/>
              </w:rPr>
              <w:t>SO</w:t>
            </w:r>
            <w:r>
              <w:rPr>
                <w:rFonts w:hint="eastAsia" w:ascii="宋体" w:hAnsi="宋体" w:eastAsia="宋体" w:cs="宋体"/>
                <w:b w:val="0"/>
                <w:bCs w:val="0"/>
                <w:sz w:val="24"/>
                <w:szCs w:val="24"/>
                <w:vertAlign w:val="subscript"/>
              </w:rPr>
              <w:t>4</w:t>
            </w:r>
            <w:r>
              <w:rPr>
                <w:rFonts w:hint="eastAsia" w:ascii="宋体" w:hAnsi="宋体" w:eastAsia="宋体" w:cs="宋体"/>
                <w:b w:val="0"/>
                <w:bCs w:val="0"/>
                <w:sz w:val="24"/>
                <w:szCs w:val="24"/>
                <w:vertAlign w:val="superscript"/>
              </w:rPr>
              <w:t>2－</w:t>
            </w:r>
          </w:p>
        </w:tc>
        <w:tc>
          <w:tcPr>
            <w:tcW w:w="983" w:type="dxa"/>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［SO</w:t>
            </w:r>
            <w:r>
              <w:rPr>
                <w:rFonts w:hint="eastAsia" w:ascii="宋体" w:hAnsi="宋体" w:eastAsia="宋体" w:cs="宋体"/>
                <w:b w:val="0"/>
                <w:bCs w:val="0"/>
                <w:sz w:val="24"/>
                <w:szCs w:val="24"/>
                <w:vertAlign w:val="subscript"/>
              </w:rPr>
              <w:t>4</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］与［Cl</w:t>
            </w:r>
            <w:r>
              <w:rPr>
                <w:rFonts w:hint="eastAsia" w:ascii="宋体" w:hAnsi="宋体" w:eastAsia="宋体" w:cs="宋体"/>
                <w:b w:val="0"/>
                <w:bCs w:val="0"/>
                <w:sz w:val="24"/>
                <w:szCs w:val="24"/>
                <w:vertAlign w:val="superscript"/>
              </w:rPr>
              <w:t>－</w:t>
            </w:r>
            <w:r>
              <w:rPr>
                <w:rFonts w:hint="eastAsia" w:ascii="宋体" w:hAnsi="宋体" w:eastAsia="宋体" w:cs="宋体"/>
                <w:b w:val="0"/>
                <w:bCs w:val="0"/>
                <w:sz w:val="24"/>
                <w:szCs w:val="24"/>
              </w:rPr>
              <w:t>］之和</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vMerge w:val="restart"/>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硅酸</w:t>
            </w:r>
          </w:p>
        </w:tc>
        <w:tc>
          <w:tcPr>
            <w:tcW w:w="983" w:type="dxa"/>
            <w:vMerge w:val="restart"/>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w w:val="66"/>
                <w:sz w:val="24"/>
                <w:szCs w:val="24"/>
              </w:rPr>
            </w:pP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≤600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jc w:val="center"/>
        </w:trPr>
        <w:tc>
          <w:tcPr>
            <w:tcW w:w="1642" w:type="dxa"/>
            <w:vMerge w:val="continue"/>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p>
        </w:tc>
        <w:tc>
          <w:tcPr>
            <w:tcW w:w="983" w:type="dxa"/>
            <w:vMerge w:val="continue"/>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］与［SiO</w:t>
            </w:r>
            <w:r>
              <w:rPr>
                <w:rFonts w:hint="eastAsia" w:ascii="宋体" w:hAnsi="宋体" w:eastAsia="宋体" w:cs="宋体"/>
                <w:b w:val="0"/>
                <w:bCs w:val="0"/>
                <w:sz w:val="24"/>
                <w:szCs w:val="24"/>
                <w:vertAlign w:val="subscript"/>
              </w:rPr>
              <w:t>2</w:t>
            </w:r>
            <w:r>
              <w:rPr>
                <w:rFonts w:hint="eastAsia" w:ascii="宋体" w:hAnsi="宋体" w:eastAsia="宋体" w:cs="宋体"/>
                <w:b w:val="0"/>
                <w:bCs w:val="0"/>
                <w:sz w:val="24"/>
                <w:szCs w:val="24"/>
              </w:rPr>
              <w:t>］的乘积</w:t>
            </w: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＜12000</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ind w:left="84" w:leftChars="35"/>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游离氯</w:t>
            </w:r>
          </w:p>
        </w:tc>
        <w:tc>
          <w:tcPr>
            <w:tcW w:w="983" w:type="dxa"/>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mg/L</w:t>
            </w:r>
          </w:p>
        </w:tc>
        <w:tc>
          <w:tcPr>
            <w:tcW w:w="3760" w:type="dxa"/>
            <w:noWrap w:val="0"/>
            <w:vAlign w:val="center"/>
          </w:tcPr>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w w:val="66"/>
                <w:sz w:val="24"/>
                <w:szCs w:val="24"/>
              </w:rPr>
            </w:pPr>
          </w:p>
        </w:tc>
        <w:tc>
          <w:tcPr>
            <w:tcW w:w="132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0.3~0.8</w:t>
            </w:r>
          </w:p>
        </w:tc>
        <w:tc>
          <w:tcPr>
            <w:tcW w:w="132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碳钢腐蚀率</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mm/a</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＜0.10</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不锈钢腐蚀率</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mm/a</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＜0.004</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pStyle w:val="8"/>
              <w:keepNext w:val="0"/>
              <w:keepLines w:val="0"/>
              <w:pageBreakBefore w:val="0"/>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铜、铜合金腐蚀率</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mm/a</w:t>
            </w:r>
          </w:p>
        </w:tc>
        <w:tc>
          <w:tcPr>
            <w:tcW w:w="3760" w:type="dxa"/>
            <w:noWrap w:val="0"/>
            <w:vAlign w:val="center"/>
          </w:tcPr>
          <w:p>
            <w:pPr>
              <w:pStyle w:val="8"/>
              <w:keepNext w:val="0"/>
              <w:keepLines w:val="0"/>
              <w:pageBreakBefore w:val="0"/>
              <w:widowControl/>
              <w:pBdr>
                <w:bottom w:val="none" w:color="auto" w:sz="0" w:space="0"/>
              </w:pBdr>
              <w:tabs>
                <w:tab w:val="clear" w:pos="4153"/>
                <w:tab w:val="clear" w:pos="8306"/>
              </w:tabs>
              <w:kinsoku/>
              <w:wordWrap/>
              <w:overflowPunct/>
              <w:topLinePunct w:val="0"/>
              <w:bidi w:val="0"/>
              <w:snapToGrid/>
              <w:spacing w:line="0" w:lineRule="atLeast"/>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＜0.004</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细菌数(异养菌)</w:t>
            </w:r>
          </w:p>
        </w:tc>
        <w:tc>
          <w:tcPr>
            <w:tcW w:w="983"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个/ml</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&lt;5×10</w:t>
            </w:r>
            <w:r>
              <w:rPr>
                <w:rFonts w:hint="eastAsia" w:ascii="宋体" w:hAnsi="宋体" w:eastAsia="宋体" w:cs="宋体"/>
                <w:b w:val="0"/>
                <w:bCs w:val="0"/>
                <w:sz w:val="24"/>
                <w:szCs w:val="24"/>
                <w:vertAlign w:val="superscript"/>
              </w:rPr>
              <w:t>5</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&lt;8×10</w:t>
            </w:r>
            <w:r>
              <w:rPr>
                <w:rFonts w:hint="eastAsia" w:ascii="宋体" w:hAnsi="宋体" w:eastAsia="宋体" w:cs="宋体"/>
                <w:b w:val="0"/>
                <w:bCs w:val="0"/>
                <w:sz w:val="24"/>
                <w:szCs w:val="24"/>
                <w:vertAlign w:val="superscript"/>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1642" w:type="dxa"/>
            <w:noWrap w:val="0"/>
            <w:vAlign w:val="center"/>
          </w:tcPr>
          <w:p>
            <w:pPr>
              <w:keepNext w:val="0"/>
              <w:keepLines w:val="0"/>
              <w:pageBreakBefore w:val="0"/>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热交换器污垢热阻</w:t>
            </w:r>
          </w:p>
        </w:tc>
        <w:tc>
          <w:tcPr>
            <w:tcW w:w="98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m</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th℃/kcal</w:t>
            </w:r>
          </w:p>
        </w:tc>
        <w:tc>
          <w:tcPr>
            <w:tcW w:w="3760"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p>
        </w:tc>
        <w:tc>
          <w:tcPr>
            <w:tcW w:w="1322"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&lt;3×10</w:t>
            </w:r>
            <w:r>
              <w:rPr>
                <w:rFonts w:hint="eastAsia" w:ascii="宋体" w:hAnsi="宋体" w:eastAsia="宋体" w:cs="宋体"/>
                <w:b w:val="0"/>
                <w:bCs w:val="0"/>
                <w:sz w:val="24"/>
                <w:szCs w:val="24"/>
                <w:vertAlign w:val="superscript"/>
              </w:rPr>
              <w:t>-4</w:t>
            </w:r>
          </w:p>
        </w:tc>
        <w:tc>
          <w:tcPr>
            <w:tcW w:w="1323" w:type="dxa"/>
            <w:noWrap w:val="0"/>
            <w:vAlign w:val="center"/>
          </w:tcPr>
          <w:p>
            <w:pPr>
              <w:keepNext w:val="0"/>
              <w:keepLines w:val="0"/>
              <w:pageBreakBefore w:val="0"/>
              <w:widowControl/>
              <w:kinsoku/>
              <w:wordWrap/>
              <w:overflowPunct/>
              <w:topLinePunct w:val="0"/>
              <w:bidi w:val="0"/>
              <w:snapToGrid/>
              <w:spacing w:line="0" w:lineRule="atLeast"/>
              <w:jc w:val="center"/>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&lt;6×10</w:t>
            </w:r>
            <w:r>
              <w:rPr>
                <w:rFonts w:hint="eastAsia" w:ascii="宋体" w:hAnsi="宋体" w:eastAsia="宋体" w:cs="宋体"/>
                <w:b w:val="0"/>
                <w:bCs w:val="0"/>
                <w:sz w:val="24"/>
                <w:szCs w:val="24"/>
                <w:vertAlign w:val="superscript"/>
              </w:rPr>
              <w:t>-4</w:t>
            </w:r>
          </w:p>
        </w:tc>
      </w:tr>
    </w:tbl>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注：①甲基橙碱度以CaCO</w:t>
      </w:r>
      <w:r>
        <w:rPr>
          <w:rFonts w:hint="eastAsia" w:ascii="宋体" w:hAnsi="宋体" w:eastAsia="宋体" w:cs="宋体"/>
          <w:b w:val="0"/>
          <w:bCs w:val="0"/>
          <w:sz w:val="24"/>
          <w:szCs w:val="24"/>
          <w:vertAlign w:val="subscript"/>
        </w:rPr>
        <w:t>3</w:t>
      </w:r>
      <w:r>
        <w:rPr>
          <w:rFonts w:hint="eastAsia" w:ascii="宋体" w:hAnsi="宋体" w:eastAsia="宋体" w:cs="宋体"/>
          <w:b w:val="0"/>
          <w:bCs w:val="0"/>
          <w:sz w:val="24"/>
          <w:szCs w:val="24"/>
        </w:rPr>
        <w:t>计；②硅酸以SiO</w:t>
      </w:r>
      <w:r>
        <w:rPr>
          <w:rFonts w:hint="eastAsia" w:ascii="宋体" w:hAnsi="宋体" w:eastAsia="宋体" w:cs="宋体"/>
          <w:b w:val="0"/>
          <w:bCs w:val="0"/>
          <w:sz w:val="24"/>
          <w:szCs w:val="24"/>
          <w:vertAlign w:val="subscript"/>
        </w:rPr>
        <w:t>2</w:t>
      </w:r>
      <w:r>
        <w:rPr>
          <w:rFonts w:hint="eastAsia" w:ascii="宋体" w:hAnsi="宋体" w:eastAsia="宋体" w:cs="宋体"/>
          <w:b w:val="0"/>
          <w:bCs w:val="0"/>
          <w:sz w:val="24"/>
          <w:szCs w:val="24"/>
        </w:rPr>
        <w:t>计；③Mg</w:t>
      </w:r>
      <w:r>
        <w:rPr>
          <w:rFonts w:hint="eastAsia" w:ascii="宋体" w:hAnsi="宋体" w:eastAsia="宋体" w:cs="宋体"/>
          <w:b w:val="0"/>
          <w:bCs w:val="0"/>
          <w:sz w:val="24"/>
          <w:szCs w:val="24"/>
          <w:vertAlign w:val="superscript"/>
        </w:rPr>
        <w:t>2＋</w:t>
      </w:r>
      <w:r>
        <w:rPr>
          <w:rFonts w:hint="eastAsia" w:ascii="宋体" w:hAnsi="宋体" w:eastAsia="宋体" w:cs="宋体"/>
          <w:b w:val="0"/>
          <w:bCs w:val="0"/>
          <w:sz w:val="24"/>
          <w:szCs w:val="24"/>
        </w:rPr>
        <w:t>以CaCO</w:t>
      </w:r>
      <w:r>
        <w:rPr>
          <w:rFonts w:hint="eastAsia" w:ascii="宋体" w:hAnsi="宋体" w:eastAsia="宋体" w:cs="宋体"/>
          <w:b w:val="0"/>
          <w:bCs w:val="0"/>
          <w:sz w:val="24"/>
          <w:szCs w:val="24"/>
          <w:vertAlign w:val="subscript"/>
        </w:rPr>
        <w:t>3</w:t>
      </w:r>
      <w:r>
        <w:rPr>
          <w:rFonts w:hint="eastAsia" w:ascii="宋体" w:hAnsi="宋体" w:eastAsia="宋体" w:cs="宋体"/>
          <w:b w:val="0"/>
          <w:bCs w:val="0"/>
          <w:sz w:val="24"/>
          <w:szCs w:val="24"/>
        </w:rPr>
        <w:t>计。</w:t>
      </w:r>
    </w:p>
    <w:p>
      <w:pPr>
        <w:keepNext w:val="0"/>
        <w:keepLines w:val="0"/>
        <w:pageBreakBefore w:val="0"/>
        <w:kinsoku/>
        <w:wordWrap/>
        <w:overflowPunct/>
        <w:topLinePunct w:val="0"/>
        <w:bidi w:val="0"/>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2、质量指标：经综合清洗及其水处理后，在空调系统无机械故障的前提下，冷却水进出温差保持正常（3—5℃），阻垢率在90%以上，保持良好的热交换效率。符合GB/50050—95《工业循环冷却水处理标准》。</w:t>
      </w:r>
    </w:p>
    <w:p>
      <w:pPr>
        <w:pStyle w:val="2"/>
        <w:keepNext w:val="0"/>
        <w:keepLines w:val="0"/>
        <w:pageBreakBefore w:val="0"/>
        <w:kinsoku/>
        <w:wordWrap/>
        <w:overflowPunct/>
        <w:topLinePunct w:val="0"/>
        <w:bidi w:val="0"/>
        <w:snapToGrid/>
        <w:spacing w:line="0" w:lineRule="atLeast"/>
        <w:textAlignment w:val="auto"/>
        <w:rPr>
          <w:rFonts w:hint="eastAsia" w:ascii="宋体" w:hAnsi="宋体" w:eastAsia="宋体" w:cs="宋体"/>
          <w:b/>
          <w:bCs/>
          <w:sz w:val="21"/>
          <w:szCs w:val="21"/>
          <w:lang w:val="en-US" w:eastAsia="zh-CN"/>
        </w:rPr>
      </w:pPr>
    </w:p>
    <w:p>
      <w:pPr>
        <w:pStyle w:val="2"/>
        <w:rPr>
          <w:rFonts w:hint="eastAsia" w:ascii="宋体" w:hAnsi="宋体" w:eastAsia="宋体" w:cs="宋体"/>
          <w:b w:val="0"/>
          <w:bCs w:val="0"/>
          <w:sz w:val="24"/>
          <w:szCs w:val="24"/>
        </w:rPr>
      </w:pPr>
    </w:p>
    <w:p>
      <w:pPr>
        <w:keepNext w:val="0"/>
        <w:keepLines w:val="0"/>
        <w:pageBreakBefore w:val="0"/>
        <w:widowControl w:val="0"/>
        <w:kinsoku/>
        <w:wordWrap/>
        <w:overflowPunct/>
        <w:topLinePunct w:val="0"/>
        <w:autoSpaceDE/>
        <w:autoSpaceDN/>
        <w:bidi w:val="0"/>
        <w:adjustRightInd/>
        <w:snapToGrid/>
        <w:spacing w:line="0" w:lineRule="atLeas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p>
    <w:p>
      <w:pPr>
        <w:pageBreakBefore/>
        <w:spacing w:line="360" w:lineRule="auto"/>
        <w:rPr>
          <w:rFonts w:hint="eastAsia" w:ascii="宋体" w:hAnsi="宋体" w:eastAsia="宋体" w:cs="宋体"/>
          <w:color w:val="000000"/>
          <w:szCs w:val="24"/>
        </w:rPr>
      </w:pPr>
      <w:r>
        <w:rPr>
          <w:rFonts w:hint="eastAsia" w:ascii="宋体" w:hAnsi="宋体" w:eastAsia="宋体" w:cs="宋体"/>
          <w:szCs w:val="24"/>
          <w:lang w:val="en-US" w:eastAsia="zh-CN"/>
        </w:rPr>
        <w:t>附件五</w:t>
      </w:r>
      <w:bookmarkStart w:id="0" w:name="_GoBack"/>
      <w:bookmarkEnd w:id="0"/>
      <w:r>
        <w:rPr>
          <w:rFonts w:hint="eastAsia" w:ascii="宋体" w:hAnsi="宋体" w:eastAsia="宋体" w:cs="宋体"/>
          <w:szCs w:val="24"/>
          <w:lang w:val="en-US" w:eastAsia="zh-CN"/>
        </w:rPr>
        <w:t xml:space="preserve">                        </w:t>
      </w:r>
      <w:r>
        <w:rPr>
          <w:rFonts w:hint="eastAsia" w:ascii="宋体" w:hAnsi="宋体" w:eastAsia="宋体" w:cs="宋体"/>
          <w:szCs w:val="24"/>
        </w:rPr>
        <w:t>部分相关业绩</w:t>
      </w:r>
    </w:p>
    <w:tbl>
      <w:tblPr>
        <w:tblStyle w:val="13"/>
        <w:tblW w:w="910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2227"/>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单位名称</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机组型号</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法制日报社（司法部）</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双良SXZ-1750两台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主机改造、维保、溶液再生、托管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河北省国税培训中心</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吉佳燃油两台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燃油直燃机改成蒸汽型制冷机节能改造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国投罗钾</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迈斯特溴冷机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检漏、清洗预膜、维保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海开大厦</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远大直燃机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大修、清洗预膜、维保、溴化锂再生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河北钢铁集团</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双良二十二台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大修换铜管、内腔清洗、预膜、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天津市东丽区政府</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天大胜远一台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鼎昆大厦</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江苏两台直燃机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大修换铜管、溶液再生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太原贵都百货</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开利、远大</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四惠大厦</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荏原直燃机二台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内腔清洗、预膜；维保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阿奇夏米尔公司</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直燃机空调、锅炉</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 xml:space="preserve">机房改造、销售溴化锂直燃机2台，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北京医院（卫生部）</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开利三台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 xml:space="preserve"> 检修、溶液再生、内腔清洗、预膜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红心美凯龙北五环店</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麦克维尔7台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大修、维保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博世力士乐（外资）</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开利两台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溶液再生、内腔清洗、维保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华联超市公益西桥店</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麦克维尔离心机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华联超市天通苑店</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特灵离心机三台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安徽氯碱化工集团</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双良一台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北京市消防教导大队</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远大两台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歌美飒叶片公司</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同方川崎二台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保温、清洗预膜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新华创新大厦</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螺杆机和直燃机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东方文创</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遵义卷烟厂</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荏原溴冷机三台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东方博宝</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同方川崎二台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换铜管、溶液再生、内腔清洗、预膜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汇金中心</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天津天保热电</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荏原溴冷机十二台</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乌鲁木齐体育中心</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天大胜远空调锅炉</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佳晋彩印</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远大一体机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清洗、修理、维保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环境大厦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开利制冷机</w:t>
            </w:r>
            <w:r>
              <w:rPr>
                <w:rFonts w:hint="eastAsia" w:ascii="宋体" w:hAnsi="宋体" w:eastAsia="宋体" w:cs="宋体"/>
                <w:b w:val="0"/>
                <w:bCs w:val="0"/>
                <w:szCs w:val="24"/>
              </w:rPr>
              <w:tab/>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清洗、大修、维保、托管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新华金融大厦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制冷机</w:t>
            </w:r>
            <w:r>
              <w:rPr>
                <w:rFonts w:hint="eastAsia" w:ascii="宋体" w:hAnsi="宋体" w:eastAsia="宋体" w:cs="宋体"/>
                <w:b w:val="0"/>
                <w:bCs w:val="0"/>
                <w:szCs w:val="24"/>
              </w:rPr>
              <w:tab/>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清洗、大修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盘锦通达化工</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三洋机热水型</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修理、铜管更换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中福百货</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开利离心机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修理、维保、托管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延庆金隅度假村</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远大制冷机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新疆新能物资大厦</w:t>
            </w:r>
          </w:p>
        </w:tc>
        <w:tc>
          <w:tcPr>
            <w:tcW w:w="2227" w:type="dxa"/>
            <w:tcBorders>
              <w:top w:val="single" w:color="auto" w:sz="4" w:space="0"/>
              <w:left w:val="single" w:color="auto" w:sz="4" w:space="0"/>
              <w:bottom w:val="single" w:color="auto" w:sz="4" w:space="0"/>
              <w:right w:val="single" w:color="auto" w:sz="4" w:space="0"/>
            </w:tcBorders>
          </w:tcPr>
          <w:p>
            <w:pPr>
              <w:tabs>
                <w:tab w:val="center" w:pos="1312"/>
              </w:tabs>
              <w:rPr>
                <w:rFonts w:hint="eastAsia" w:ascii="宋体" w:hAnsi="宋体" w:eastAsia="宋体" w:cs="宋体"/>
                <w:b w:val="0"/>
                <w:bCs w:val="0"/>
                <w:szCs w:val="24"/>
              </w:rPr>
            </w:pPr>
            <w:r>
              <w:rPr>
                <w:rFonts w:hint="eastAsia" w:ascii="宋体" w:hAnsi="宋体" w:eastAsia="宋体" w:cs="宋体"/>
                <w:b w:val="0"/>
                <w:bCs w:val="0"/>
                <w:szCs w:val="24"/>
              </w:rPr>
              <w:t>制冷机、锅炉</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大修、清洗预膜、维保、水质处理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五环酒店</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远大直燃机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阳泉煤矿第三医院</w:t>
            </w:r>
          </w:p>
        </w:tc>
        <w:tc>
          <w:tcPr>
            <w:tcW w:w="2227"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荏原直燃机</w:t>
            </w:r>
          </w:p>
        </w:tc>
        <w:tc>
          <w:tcPr>
            <w:tcW w:w="434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b w:val="0"/>
                <w:bCs w:val="0"/>
                <w:szCs w:val="24"/>
              </w:rPr>
            </w:pPr>
            <w:r>
              <w:rPr>
                <w:rFonts w:hint="eastAsia" w:ascii="宋体" w:hAnsi="宋体" w:eastAsia="宋体" w:cs="宋体"/>
                <w:b w:val="0"/>
                <w:bCs w:val="0"/>
                <w:szCs w:val="24"/>
              </w:rPr>
              <w:t>更换铜管、内腔清洗预膜、维保</w:t>
            </w:r>
          </w:p>
        </w:tc>
      </w:tr>
    </w:tbl>
    <w:p>
      <w:pPr>
        <w:rPr>
          <w:rFonts w:hint="eastAsia" w:ascii="宋体" w:hAnsi="宋体" w:eastAsia="宋体" w:cs="宋体"/>
          <w:b w:val="0"/>
          <w:bCs w:val="0"/>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ascii="宋体" w:hAnsi="宋体" w:eastAsia="宋体" w:cs="宋体"/>
        <w:sz w:val="21"/>
        <w:szCs w:val="21"/>
      </w:rPr>
      <w:drawing>
        <wp:anchor distT="0" distB="0" distL="114300" distR="114300" simplePos="0" relativeHeight="25166131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3"/>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b w:val="0"/>
              <w:bCs w:val="0"/>
              <w:sz w:val="18"/>
              <w:szCs w:val="18"/>
            </w:rPr>
          </w:pPr>
          <w:r>
            <w:rPr>
              <w:rFonts w:hint="eastAsia"/>
              <w:b w:val="0"/>
              <w:bCs w:val="0"/>
              <w:sz w:val="18"/>
              <w:szCs w:val="18"/>
            </w:rPr>
            <w:t>公司名称： 北京三汇能环科技发展有限公司               办公地址： 北京市丰台区南木樨园18号</w:t>
          </w:r>
        </w:p>
        <w:p>
          <w:pPr>
            <w:jc w:val="left"/>
            <w:rPr>
              <w:b w:val="0"/>
              <w:bCs w:val="0"/>
              <w:sz w:val="18"/>
              <w:szCs w:val="18"/>
            </w:rPr>
          </w:pPr>
          <w:r>
            <w:rPr>
              <w:rFonts w:hint="eastAsia"/>
              <w:b w:val="0"/>
              <w:bCs w:val="0"/>
              <w:sz w:val="18"/>
              <w:szCs w:val="18"/>
            </w:rPr>
            <w:t>邮    编： 100071                                    电    话： 010-52892872(3)</w:t>
          </w:r>
        </w:p>
        <w:p>
          <w:pPr>
            <w:jc w:val="left"/>
            <w:rPr>
              <w:b w:val="0"/>
              <w:bCs w:val="0"/>
              <w:sz w:val="18"/>
              <w:szCs w:val="18"/>
            </w:rPr>
          </w:pPr>
          <w:r>
            <w:rPr>
              <w:rFonts w:hint="eastAsia"/>
              <w:b w:val="0"/>
              <w:bCs w:val="0"/>
              <w:sz w:val="18"/>
              <w:szCs w:val="18"/>
            </w:rPr>
            <w:t xml:space="preserve">邮    箱： </w:t>
          </w:r>
          <w:r>
            <w:fldChar w:fldCharType="begin"/>
          </w:r>
          <w:r>
            <w:instrText xml:space="preserve"> HYPERLINK "mailto:sanhuinh@163.com" </w:instrText>
          </w:r>
          <w:r>
            <w:fldChar w:fldCharType="separate"/>
          </w:r>
          <w:r>
            <w:rPr>
              <w:rStyle w:val="16"/>
              <w:rFonts w:hint="eastAsia"/>
              <w:b w:val="0"/>
              <w:bCs w:val="0"/>
              <w:color w:val="auto"/>
              <w:sz w:val="18"/>
              <w:szCs w:val="18"/>
            </w:rPr>
            <w:t>sanhuinh@163.com</w:t>
          </w:r>
          <w:r>
            <w:rPr>
              <w:rStyle w:val="16"/>
              <w:rFonts w:hint="eastAsia"/>
              <w:b w:val="0"/>
              <w:bCs w:val="0"/>
              <w:color w:val="auto"/>
              <w:sz w:val="18"/>
              <w:szCs w:val="18"/>
            </w:rPr>
            <w:fldChar w:fldCharType="end"/>
          </w:r>
          <w:r>
            <w:rPr>
              <w:rFonts w:hint="eastAsia"/>
              <w:b w:val="0"/>
              <w:bCs w:val="0"/>
              <w:sz w:val="18"/>
              <w:szCs w:val="18"/>
            </w:rPr>
            <w:t xml:space="preserve">                           传    真： 010-80308870</w:t>
          </w:r>
        </w:p>
        <w:p>
          <w:pPr>
            <w:rPr>
              <w:sz w:val="18"/>
              <w:szCs w:val="18"/>
            </w:rPr>
          </w:pPr>
          <w:r>
            <w:rPr>
              <w:rFonts w:hint="eastAsia"/>
              <w:b w:val="0"/>
              <w:bCs w:val="0"/>
              <w:sz w:val="18"/>
            </w:rPr>
            <w:t xml:space="preserve">网    址： </w:t>
          </w:r>
          <w:r>
            <w:fldChar w:fldCharType="begin"/>
          </w:r>
          <w:r>
            <w:instrText xml:space="preserve"> HYPERLINK "http://www.sanhuinh.com" </w:instrText>
          </w:r>
          <w:r>
            <w:fldChar w:fldCharType="separate"/>
          </w:r>
          <w:r>
            <w:rPr>
              <w:rStyle w:val="16"/>
              <w:rFonts w:hint="eastAsia"/>
              <w:b w:val="0"/>
              <w:bCs w:val="0"/>
              <w:color w:val="auto"/>
              <w:sz w:val="18"/>
            </w:rPr>
            <w:t>www.sanhuinh.com</w:t>
          </w:r>
          <w:r>
            <w:rPr>
              <w:rStyle w:val="16"/>
              <w:rFonts w:hint="eastAsia"/>
              <w:b w:val="0"/>
              <w:bCs w:val="0"/>
              <w:color w:val="auto"/>
              <w:sz w:val="18"/>
            </w:rPr>
            <w:fldChar w:fldCharType="end"/>
          </w:r>
          <w:r>
            <w:rPr>
              <w:rFonts w:hint="eastAsia"/>
              <w:b w:val="0"/>
              <w:bCs w:val="0"/>
              <w:sz w:val="18"/>
            </w:rPr>
            <w:t xml:space="preserve">                          24小时免费客服电话：400</w:t>
          </w:r>
          <w:r>
            <w:rPr>
              <w:b w:val="0"/>
              <w:bCs w:val="0"/>
              <w:sz w:val="18"/>
            </w:rPr>
            <w:t>—</w:t>
          </w:r>
          <w:r>
            <w:rPr>
              <w:rFonts w:hint="eastAsia"/>
              <w:b w:val="0"/>
              <w:bCs w:val="0"/>
              <w:sz w:val="18"/>
            </w:rPr>
            <w:t>636--7337</w:t>
          </w:r>
        </w:p>
      </w:tc>
    </w:tr>
  </w:tbl>
  <w:p>
    <w:pPr>
      <w:pStyle w:val="7"/>
      <w:jc w:val="both"/>
    </w:pPr>
  </w:p>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IiIqotAgAAVw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IiIqotAgAAVwQAAA4AAAAAAAAAAQAgAAAAHwEAAGRycy9lMm9Eb2MueG1sUEsFBgAAAAAG&#10;AAYAWQEAAL4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181" w:firstLineChars="100"/>
    </w:pPr>
    <w:r>
      <w:rPr>
        <w:iCs/>
        <w:szCs w:val="18"/>
      </w:rPr>
      <w:drawing>
        <wp:anchor distT="0" distB="0" distL="114300" distR="114300" simplePos="0" relativeHeight="251660288" behindDoc="1" locked="0" layoutInCell="1" allowOverlap="1">
          <wp:simplePos x="0" y="0"/>
          <wp:positionH relativeFrom="column">
            <wp:posOffset>-627380</wp:posOffset>
          </wp:positionH>
          <wp:positionV relativeFrom="paragraph">
            <wp:posOffset>-298450</wp:posOffset>
          </wp:positionV>
          <wp:extent cx="657225" cy="605790"/>
          <wp:effectExtent l="0" t="0" r="13335" b="3810"/>
          <wp:wrapTight wrapText="bothSides">
            <wp:wrapPolygon>
              <wp:start x="0" y="0"/>
              <wp:lineTo x="0" y="21192"/>
              <wp:lineTo x="21037" y="21192"/>
              <wp:lineTo x="21037" y="0"/>
              <wp:lineTo x="0" y="0"/>
            </wp:wrapPolygon>
          </wp:wrapTight>
          <wp:docPr id="1" name="图片 1" descr="C:\Users\Administrator\Desktop\16728067918368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67280679183682264.jpg"/>
                  <pic:cNvPicPr>
                    <a:picLocks noChangeAspect="1"/>
                  </pic:cNvPicPr>
                </pic:nvPicPr>
                <pic:blipFill>
                  <a:blip r:embed="rId1"/>
                  <a:stretch>
                    <a:fillRect/>
                  </a:stretch>
                </pic:blipFill>
                <pic:spPr>
                  <a:xfrm>
                    <a:off x="0" y="0"/>
                    <a:ext cx="657225" cy="605790"/>
                  </a:xfrm>
                  <a:prstGeom prst="rect">
                    <a:avLst/>
                  </a:prstGeom>
                  <a:noFill/>
                  <a:ln w="9525">
                    <a:noFill/>
                  </a:ln>
                </pic:spPr>
              </pic:pic>
            </a:graphicData>
          </a:graphic>
        </wp:anchor>
      </w:drawing>
    </w:r>
    <w:r>
      <w:rPr>
        <w:rFonts w:hint="eastAsia"/>
        <w:iCs/>
        <w:szCs w:val="18"/>
        <w:lang w:val="en-US" w:eastAsia="zh-CN"/>
      </w:rPr>
      <w:t>离心机和</w:t>
    </w:r>
    <w:r>
      <w:rPr>
        <w:rFonts w:hint="eastAsia"/>
        <w:iCs/>
        <w:szCs w:val="18"/>
      </w:rPr>
      <w:t>螺杆机</w:t>
    </w:r>
    <w:r>
      <w:rPr>
        <w:rFonts w:hint="eastAsia"/>
        <w:szCs w:val="18"/>
      </w:rPr>
      <w:t>保养</w:t>
    </w:r>
    <w:r>
      <w:rPr>
        <w:rFonts w:hint="eastAsia"/>
        <w:szCs w:val="18"/>
        <w:lang w:val="en-US" w:eastAsia="zh-CN"/>
      </w:rPr>
      <w:t>和清洗预膜</w:t>
    </w:r>
    <w:r>
      <w:rPr>
        <w:rFonts w:hint="eastAsia"/>
        <w:szCs w:val="18"/>
      </w:rPr>
      <w:t>方案</w:t>
    </w:r>
    <w:r>
      <w:rPr>
        <w:rFonts w:hint="eastAsia"/>
        <w:szCs w:val="18"/>
        <w:lang w:val="en-US" w:eastAsia="zh-CN"/>
      </w:rPr>
      <w:t>和报价</w:t>
    </w:r>
    <w:r>
      <w:rPr>
        <w:rFonts w:hint="eastAsia"/>
        <w:color w:val="FF6600"/>
        <w:szCs w:val="18"/>
      </w:rPr>
      <w:t xml:space="preserve">   </w:t>
    </w:r>
    <w:r>
      <w:rPr>
        <w:rFonts w:hint="eastAsia"/>
      </w:rPr>
      <w:t xml:space="preserve">                               三汇能环  服务冷暖</w:t>
    </w:r>
  </w:p>
  <w:p>
    <w:pPr>
      <w:pStyle w:val="8"/>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81339D"/>
    <w:multiLevelType w:val="singleLevel"/>
    <w:tmpl w:val="A681339D"/>
    <w:lvl w:ilvl="0" w:tentative="0">
      <w:start w:val="1"/>
      <w:numFmt w:val="decimalEnclosedCircleChinese"/>
      <w:suff w:val="nothing"/>
      <w:lvlText w:val="%1　"/>
      <w:lvlJc w:val="left"/>
      <w:pPr>
        <w:ind w:left="0" w:firstLine="400"/>
      </w:pPr>
      <w:rPr>
        <w:rFonts w:hint="eastAsia"/>
      </w:rPr>
    </w:lvl>
  </w:abstractNum>
  <w:abstractNum w:abstractNumId="1">
    <w:nsid w:val="D1A3A909"/>
    <w:multiLevelType w:val="singleLevel"/>
    <w:tmpl w:val="D1A3A909"/>
    <w:lvl w:ilvl="0" w:tentative="0">
      <w:start w:val="1"/>
      <w:numFmt w:val="decimalEnclosedCircleChinese"/>
      <w:suff w:val="nothing"/>
      <w:lvlText w:val="%1　"/>
      <w:lvlJc w:val="left"/>
      <w:pPr>
        <w:ind w:left="0" w:firstLine="400"/>
      </w:pPr>
      <w:rPr>
        <w:rFonts w:hint="eastAsia"/>
      </w:rPr>
    </w:lvl>
  </w:abstractNum>
  <w:abstractNum w:abstractNumId="2">
    <w:nsid w:val="DA04F762"/>
    <w:multiLevelType w:val="singleLevel"/>
    <w:tmpl w:val="DA04F762"/>
    <w:lvl w:ilvl="0" w:tentative="0">
      <w:start w:val="1"/>
      <w:numFmt w:val="bullet"/>
      <w:lvlText w:val=""/>
      <w:lvlJc w:val="left"/>
      <w:pPr>
        <w:ind w:left="420" w:hanging="420"/>
      </w:pPr>
      <w:rPr>
        <w:rFonts w:hint="default" w:ascii="Wingdings" w:hAnsi="Wingdings"/>
      </w:rPr>
    </w:lvl>
  </w:abstractNum>
  <w:abstractNum w:abstractNumId="3">
    <w:nsid w:val="F1CC5A30"/>
    <w:multiLevelType w:val="singleLevel"/>
    <w:tmpl w:val="F1CC5A30"/>
    <w:lvl w:ilvl="0" w:tentative="0">
      <w:start w:val="1"/>
      <w:numFmt w:val="decimalEnclosedCircleChinese"/>
      <w:suff w:val="nothing"/>
      <w:lvlText w:val="%1　"/>
      <w:lvlJc w:val="left"/>
      <w:pPr>
        <w:ind w:left="0" w:firstLine="400"/>
      </w:pPr>
      <w:rPr>
        <w:rFonts w:hint="eastAsia"/>
      </w:rPr>
    </w:lvl>
  </w:abstractNum>
  <w:abstractNum w:abstractNumId="4">
    <w:nsid w:val="0000000A"/>
    <w:multiLevelType w:val="singleLevel"/>
    <w:tmpl w:val="0000000A"/>
    <w:lvl w:ilvl="0" w:tentative="0">
      <w:start w:val="1"/>
      <w:numFmt w:val="decimal"/>
      <w:lvlText w:val="%1．"/>
      <w:lvlJc w:val="left"/>
      <w:pPr>
        <w:tabs>
          <w:tab w:val="left" w:pos="360"/>
        </w:tabs>
        <w:ind w:left="360" w:hanging="360"/>
      </w:pPr>
    </w:lvl>
  </w:abstractNum>
  <w:abstractNum w:abstractNumId="5">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178082C5"/>
    <w:multiLevelType w:val="singleLevel"/>
    <w:tmpl w:val="178082C5"/>
    <w:lvl w:ilvl="0" w:tentative="0">
      <w:start w:val="2"/>
      <w:numFmt w:val="chineseCounting"/>
      <w:suff w:val="nothing"/>
      <w:lvlText w:val="%1、"/>
      <w:lvlJc w:val="left"/>
      <w:rPr>
        <w:rFonts w:hint="eastAsia"/>
      </w:rPr>
    </w:lvl>
  </w:abstractNum>
  <w:abstractNum w:abstractNumId="8">
    <w:nsid w:val="49BFCCD6"/>
    <w:multiLevelType w:val="singleLevel"/>
    <w:tmpl w:val="49BFCCD6"/>
    <w:lvl w:ilvl="0" w:tentative="0">
      <w:start w:val="1"/>
      <w:numFmt w:val="decimalEnclosedCircleChinese"/>
      <w:suff w:val="nothing"/>
      <w:lvlText w:val="%1　"/>
      <w:lvlJc w:val="left"/>
      <w:pPr>
        <w:ind w:left="0" w:firstLine="400"/>
      </w:pPr>
      <w:rPr>
        <w:rFonts w:hint="eastAsia"/>
      </w:rPr>
    </w:lvl>
  </w:abstractNum>
  <w:abstractNum w:abstractNumId="9">
    <w:nsid w:val="535778F6"/>
    <w:multiLevelType w:val="multilevel"/>
    <w:tmpl w:val="535778F6"/>
    <w:lvl w:ilvl="0" w:tentative="0">
      <w:start w:val="1"/>
      <w:numFmt w:val="chineseCountingThousand"/>
      <w:pStyle w:val="3"/>
      <w:lvlText w:val="%1、"/>
      <w:lvlJc w:val="left"/>
      <w:pPr>
        <w:ind w:left="420" w:hanging="420"/>
      </w:pPr>
      <w:rPr>
        <w:rFonts w:hint="eastAsia" w:eastAsia="楷体_GB2312"/>
        <w:b/>
        <w:i w:val="0"/>
        <w:color w:val="auto"/>
        <w:sz w:val="30"/>
      </w:rPr>
    </w:lvl>
    <w:lvl w:ilvl="1" w:tentative="0">
      <w:start w:val="1"/>
      <w:numFmt w:val="decimal"/>
      <w:pStyle w:val="4"/>
      <w:suff w:val="nothing"/>
      <w:lvlText w:val="%2. "/>
      <w:lvlJc w:val="left"/>
      <w:rPr>
        <w:rFonts w:hint="eastAsia"/>
        <w:b w:val="0"/>
        <w:i w:val="0"/>
        <w:sz w:val="24"/>
      </w:rPr>
    </w:lvl>
    <w:lvl w:ilvl="2" w:tentative="0">
      <w:start w:val="1"/>
      <w:numFmt w:val="none"/>
      <w:pStyle w:val="5"/>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10">
    <w:nsid w:val="597B173F"/>
    <w:multiLevelType w:val="multilevel"/>
    <w:tmpl w:val="597B173F"/>
    <w:lvl w:ilvl="0" w:tentative="0">
      <w:start w:val="1"/>
      <w:numFmt w:val="decimal"/>
      <w:lvlText w:val="%1．"/>
      <w:lvlJc w:val="left"/>
      <w:pPr>
        <w:tabs>
          <w:tab w:val="left" w:pos="360"/>
        </w:tabs>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627B8BF0"/>
    <w:multiLevelType w:val="singleLevel"/>
    <w:tmpl w:val="627B8BF0"/>
    <w:lvl w:ilvl="0" w:tentative="0">
      <w:start w:val="1"/>
      <w:numFmt w:val="decimalEnclosedCircleChinese"/>
      <w:suff w:val="nothing"/>
      <w:lvlText w:val="%1　"/>
      <w:lvlJc w:val="left"/>
      <w:pPr>
        <w:ind w:left="0" w:firstLine="400"/>
      </w:pPr>
      <w:rPr>
        <w:rFonts w:hint="eastAsia"/>
      </w:rPr>
    </w:lvl>
  </w:abstractNum>
  <w:abstractNum w:abstractNumId="12">
    <w:nsid w:val="66E96AF6"/>
    <w:multiLevelType w:val="singleLevel"/>
    <w:tmpl w:val="66E96AF6"/>
    <w:lvl w:ilvl="0" w:tentative="0">
      <w:start w:val="1"/>
      <w:numFmt w:val="bullet"/>
      <w:lvlText w:val=""/>
      <w:lvlJc w:val="left"/>
      <w:pPr>
        <w:ind w:left="420" w:hanging="420"/>
      </w:pPr>
      <w:rPr>
        <w:rFonts w:hint="default" w:ascii="Wingdings" w:hAnsi="Wingdings"/>
      </w:rPr>
    </w:lvl>
  </w:abstractNum>
  <w:num w:numId="1">
    <w:abstractNumId w:val="9"/>
  </w:num>
  <w:num w:numId="2">
    <w:abstractNumId w:val="5"/>
    <w:lvlOverride w:ilvl="0">
      <w:startOverride w:val="1"/>
    </w:lvlOverride>
  </w:num>
  <w:num w:numId="3">
    <w:abstractNumId w:val="6"/>
    <w:lvlOverride w:ilvl="0">
      <w:startOverride w:val="1"/>
    </w:lvlOverride>
  </w:num>
  <w:num w:numId="4">
    <w:abstractNumId w:val="10"/>
    <w:lvlOverride w:ilvl="0">
      <w:startOverride w:val="1"/>
    </w:lvlOverride>
  </w:num>
  <w:num w:numId="5">
    <w:abstractNumId w:val="8"/>
  </w:num>
  <w:num w:numId="6">
    <w:abstractNumId w:val="11"/>
  </w:num>
  <w:num w:numId="7">
    <w:abstractNumId w:val="0"/>
  </w:num>
  <w:num w:numId="8">
    <w:abstractNumId w:val="1"/>
  </w:num>
  <w:num w:numId="9">
    <w:abstractNumId w:val="2"/>
  </w:num>
  <w:num w:numId="10">
    <w:abstractNumId w:val="3"/>
  </w:num>
  <w:num w:numId="11">
    <w:abstractNumId w:val="12"/>
  </w:num>
  <w:num w:numId="12">
    <w:abstractNumId w:val="4"/>
    <w:lvlOverride w:ilvl="0">
      <w:startOverride w:val="1"/>
    </w:lvlOverride>
  </w:num>
  <w:num w:numId="13">
    <w:abstractNumId w:val="6"/>
    <w:lvlOverride w:ilvl="0">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NTExMWQyMmVmZTUzZWVlN2IzNTJhYzhhMWMxMGMifQ=="/>
  </w:docVars>
  <w:rsids>
    <w:rsidRoot w:val="00172A27"/>
    <w:rsid w:val="000D2B55"/>
    <w:rsid w:val="00172A27"/>
    <w:rsid w:val="002202A3"/>
    <w:rsid w:val="005C135A"/>
    <w:rsid w:val="035967B8"/>
    <w:rsid w:val="037F371D"/>
    <w:rsid w:val="04553DA6"/>
    <w:rsid w:val="05B92AF4"/>
    <w:rsid w:val="08914057"/>
    <w:rsid w:val="08DB7CE2"/>
    <w:rsid w:val="090C1985"/>
    <w:rsid w:val="09D37D5E"/>
    <w:rsid w:val="0ABA0C31"/>
    <w:rsid w:val="0AD77151"/>
    <w:rsid w:val="0B8438B4"/>
    <w:rsid w:val="13544346"/>
    <w:rsid w:val="1479369F"/>
    <w:rsid w:val="15532024"/>
    <w:rsid w:val="15612288"/>
    <w:rsid w:val="159B6AA6"/>
    <w:rsid w:val="17B6648D"/>
    <w:rsid w:val="181E09C2"/>
    <w:rsid w:val="1ABF39F6"/>
    <w:rsid w:val="1B311A02"/>
    <w:rsid w:val="1B9F29FA"/>
    <w:rsid w:val="1D501497"/>
    <w:rsid w:val="23354E07"/>
    <w:rsid w:val="242C7D22"/>
    <w:rsid w:val="272F6D6E"/>
    <w:rsid w:val="28B97AF7"/>
    <w:rsid w:val="297A11B7"/>
    <w:rsid w:val="29912605"/>
    <w:rsid w:val="2B474E0F"/>
    <w:rsid w:val="2BA57CEC"/>
    <w:rsid w:val="2BC3027F"/>
    <w:rsid w:val="2C182F1C"/>
    <w:rsid w:val="2C967FF5"/>
    <w:rsid w:val="2DD9792F"/>
    <w:rsid w:val="30DA44B2"/>
    <w:rsid w:val="3128601F"/>
    <w:rsid w:val="31F50126"/>
    <w:rsid w:val="33CC6A1C"/>
    <w:rsid w:val="33F27D6D"/>
    <w:rsid w:val="34B45D96"/>
    <w:rsid w:val="3B852216"/>
    <w:rsid w:val="3DF57D6E"/>
    <w:rsid w:val="407A2910"/>
    <w:rsid w:val="43201DBD"/>
    <w:rsid w:val="43B715BF"/>
    <w:rsid w:val="43D8688C"/>
    <w:rsid w:val="46156DC6"/>
    <w:rsid w:val="479A285F"/>
    <w:rsid w:val="48E976A8"/>
    <w:rsid w:val="49780683"/>
    <w:rsid w:val="4C972539"/>
    <w:rsid w:val="4D84545B"/>
    <w:rsid w:val="4DC64B62"/>
    <w:rsid w:val="4E5B3753"/>
    <w:rsid w:val="4EDA0DDD"/>
    <w:rsid w:val="50AB622A"/>
    <w:rsid w:val="513E6796"/>
    <w:rsid w:val="51A448A3"/>
    <w:rsid w:val="541B2411"/>
    <w:rsid w:val="5612356B"/>
    <w:rsid w:val="582966F7"/>
    <w:rsid w:val="58440964"/>
    <w:rsid w:val="59F111B9"/>
    <w:rsid w:val="5A2065B7"/>
    <w:rsid w:val="5A42450B"/>
    <w:rsid w:val="5B0F4B4B"/>
    <w:rsid w:val="60871DC4"/>
    <w:rsid w:val="61347EF5"/>
    <w:rsid w:val="617E1FC0"/>
    <w:rsid w:val="62174646"/>
    <w:rsid w:val="637B21B6"/>
    <w:rsid w:val="64461DA6"/>
    <w:rsid w:val="64735349"/>
    <w:rsid w:val="65412825"/>
    <w:rsid w:val="67D019FF"/>
    <w:rsid w:val="69D77846"/>
    <w:rsid w:val="6D1E4249"/>
    <w:rsid w:val="70DB2067"/>
    <w:rsid w:val="71582692"/>
    <w:rsid w:val="74F40001"/>
    <w:rsid w:val="74F53C10"/>
    <w:rsid w:val="76E1147B"/>
    <w:rsid w:val="77725FFB"/>
    <w:rsid w:val="77915A6B"/>
    <w:rsid w:val="78B62FB4"/>
    <w:rsid w:val="7A0370E8"/>
    <w:rsid w:val="7DB50825"/>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新宋体" w:asciiTheme="minorHAnsi" w:hAnsiTheme="minorHAnsi" w:eastAsiaTheme="minorEastAsia"/>
      <w:b/>
      <w:bCs/>
      <w:sz w:val="24"/>
      <w:lang w:val="en-US" w:eastAsia="zh-CN" w:bidi="ar-SA"/>
    </w:rPr>
  </w:style>
  <w:style w:type="paragraph" w:styleId="3">
    <w:name w:val="heading 1"/>
    <w:basedOn w:val="1"/>
    <w:next w:val="1"/>
    <w:link w:val="29"/>
    <w:qFormat/>
    <w:uiPriority w:val="0"/>
    <w:pPr>
      <w:keepNext/>
      <w:keepLines/>
      <w:numPr>
        <w:ilvl w:val="0"/>
        <w:numId w:val="1"/>
      </w:numPr>
      <w:spacing w:before="120" w:after="120" w:line="480" w:lineRule="auto"/>
      <w:jc w:val="center"/>
      <w:outlineLvl w:val="0"/>
    </w:pPr>
    <w:rPr>
      <w:rFonts w:eastAsia="楷体_GB2312"/>
      <w:kern w:val="44"/>
      <w:sz w:val="30"/>
    </w:rPr>
  </w:style>
  <w:style w:type="paragraph" w:styleId="4">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sz w:val="32"/>
    </w:rPr>
  </w:style>
  <w:style w:type="paragraph" w:styleId="5">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Body Text Indent 3"/>
    <w:basedOn w:val="1"/>
    <w:qFormat/>
    <w:uiPriority w:val="0"/>
    <w:pPr>
      <w:ind w:firstLine="560" w:firstLineChars="200"/>
      <w:jc w:val="left"/>
    </w:pPr>
    <w:rPr>
      <w:sz w:val="28"/>
    </w:rPr>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35" w:after="35"/>
      <w:ind w:left="35" w:right="35"/>
      <w:jc w:val="left"/>
    </w:pPr>
    <w:rPr>
      <w:color w:val="000000"/>
      <w:sz w:val="25"/>
      <w:szCs w:val="25"/>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qFormat/>
    <w:uiPriority w:val="0"/>
    <w:rPr>
      <w:color w:val="0000FF"/>
      <w:u w:val="single"/>
    </w:rPr>
  </w:style>
  <w:style w:type="paragraph" w:customStyle="1" w:styleId="17">
    <w:name w:val="样式12"/>
    <w:basedOn w:val="1"/>
    <w:qFormat/>
    <w:uiPriority w:val="0"/>
    <w:pPr>
      <w:ind w:firstLine="422" w:firstLineChars="200"/>
    </w:pPr>
    <w:rPr>
      <w:rFonts w:ascii="Times New Roman" w:hAnsi="Times New Roman"/>
      <w:sz w:val="32"/>
    </w:rPr>
  </w:style>
  <w:style w:type="paragraph" w:customStyle="1" w:styleId="18">
    <w:name w:val="_Style 2"/>
    <w:basedOn w:val="3"/>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9">
    <w:name w:val="_Style 5"/>
    <w:basedOn w:val="3"/>
    <w:next w:val="1"/>
    <w:qFormat/>
    <w:uiPriority w:val="39"/>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20">
    <w:name w:val="apple-style-span"/>
    <w:basedOn w:val="15"/>
    <w:qFormat/>
    <w:uiPriority w:val="0"/>
  </w:style>
  <w:style w:type="character" w:customStyle="1" w:styleId="21">
    <w:name w:val="apple-converted-space"/>
    <w:basedOn w:val="15"/>
    <w:qFormat/>
    <w:uiPriority w:val="0"/>
  </w:style>
  <w:style w:type="character" w:customStyle="1" w:styleId="22">
    <w:name w:val="font91"/>
    <w:basedOn w:val="15"/>
    <w:qFormat/>
    <w:uiPriority w:val="0"/>
    <w:rPr>
      <w:rFonts w:hint="eastAsia" w:ascii="宋体" w:hAnsi="宋体" w:eastAsia="宋体" w:cs="宋体"/>
      <w:color w:val="000000"/>
      <w:sz w:val="28"/>
      <w:szCs w:val="28"/>
      <w:u w:val="none"/>
    </w:rPr>
  </w:style>
  <w:style w:type="character" w:customStyle="1" w:styleId="23">
    <w:name w:val="font81"/>
    <w:basedOn w:val="15"/>
    <w:qFormat/>
    <w:uiPriority w:val="0"/>
    <w:rPr>
      <w:rFonts w:hint="eastAsia" w:ascii="宋体" w:hAnsi="宋体" w:eastAsia="宋体" w:cs="宋体"/>
      <w:color w:val="000000"/>
      <w:sz w:val="18"/>
      <w:szCs w:val="18"/>
      <w:u w:val="none"/>
    </w:rPr>
  </w:style>
  <w:style w:type="character" w:customStyle="1" w:styleId="24">
    <w:name w:val="font01"/>
    <w:basedOn w:val="15"/>
    <w:qFormat/>
    <w:uiPriority w:val="0"/>
    <w:rPr>
      <w:rFonts w:hint="eastAsia" w:ascii="宋体" w:hAnsi="宋体" w:eastAsia="宋体" w:cs="宋体"/>
      <w:b/>
      <w:color w:val="000000"/>
      <w:sz w:val="20"/>
      <w:szCs w:val="20"/>
      <w:u w:val="none"/>
    </w:rPr>
  </w:style>
  <w:style w:type="character" w:customStyle="1" w:styleId="25">
    <w:name w:val="font21"/>
    <w:basedOn w:val="15"/>
    <w:qFormat/>
    <w:uiPriority w:val="0"/>
    <w:rPr>
      <w:rFonts w:hint="eastAsia" w:ascii="宋体" w:hAnsi="宋体" w:eastAsia="宋体" w:cs="宋体"/>
      <w:color w:val="000000"/>
      <w:sz w:val="20"/>
      <w:szCs w:val="20"/>
      <w:u w:val="none"/>
    </w:rPr>
  </w:style>
  <w:style w:type="character" w:customStyle="1" w:styleId="26">
    <w:name w:val="font41"/>
    <w:basedOn w:val="15"/>
    <w:qFormat/>
    <w:uiPriority w:val="0"/>
    <w:rPr>
      <w:rFonts w:hint="eastAsia" w:ascii="宋体" w:hAnsi="宋体" w:eastAsia="宋体" w:cs="宋体"/>
      <w:b/>
      <w:color w:val="000000"/>
      <w:sz w:val="20"/>
      <w:szCs w:val="20"/>
      <w:u w:val="none"/>
    </w:rPr>
  </w:style>
  <w:style w:type="character" w:customStyle="1" w:styleId="27">
    <w:name w:val="font71"/>
    <w:basedOn w:val="15"/>
    <w:qFormat/>
    <w:uiPriority w:val="0"/>
    <w:rPr>
      <w:rFonts w:hint="eastAsia" w:ascii="宋体" w:hAnsi="宋体" w:eastAsia="宋体" w:cs="宋体"/>
      <w:color w:val="000000"/>
      <w:sz w:val="20"/>
      <w:szCs w:val="20"/>
      <w:u w:val="none"/>
    </w:rPr>
  </w:style>
  <w:style w:type="character" w:customStyle="1" w:styleId="28">
    <w:name w:val="font51"/>
    <w:basedOn w:val="15"/>
    <w:qFormat/>
    <w:uiPriority w:val="0"/>
    <w:rPr>
      <w:rFonts w:hint="eastAsia" w:ascii="宋体" w:hAnsi="宋体" w:eastAsia="宋体" w:cs="宋体"/>
      <w:b/>
      <w:color w:val="000000"/>
      <w:sz w:val="20"/>
      <w:szCs w:val="20"/>
      <w:u w:val="none"/>
    </w:rPr>
  </w:style>
  <w:style w:type="character" w:customStyle="1" w:styleId="29">
    <w:name w:val="标题 1 Char"/>
    <w:link w:val="3"/>
    <w:qFormat/>
    <w:uiPriority w:val="0"/>
    <w:rPr>
      <w:rFonts w:eastAsia="楷体_GB2312"/>
      <w:kern w:val="44"/>
      <w:sz w:val="30"/>
      <w:szCs w:val="20"/>
    </w:rPr>
  </w:style>
  <w:style w:type="character" w:customStyle="1" w:styleId="30">
    <w:name w:val="font11"/>
    <w:basedOn w:val="15"/>
    <w:qFormat/>
    <w:uiPriority w:val="0"/>
    <w:rPr>
      <w:rFonts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8</Pages>
  <Words>3940</Words>
  <Characters>4420</Characters>
  <Lines>26</Lines>
  <Paragraphs>7</Paragraphs>
  <TotalTime>1</TotalTime>
  <ScaleCrop>false</ScaleCrop>
  <LinksUpToDate>false</LinksUpToDate>
  <CharactersWithSpaces>5560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Zoran♛三汇能环</dc:creator>
  <cp:lastModifiedBy>三汇能环科技WPS</cp:lastModifiedBy>
  <dcterms:modified xsi:type="dcterms:W3CDTF">2023-04-05T02:29:46Z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6B6B02673E534CD492E307C8E98AC5EA</vt:lpwstr>
  </property>
</Properties>
</file>