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baseline"/>
        <w:rPr>
          <w:rStyle w:val="10"/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Style w:val="10"/>
          <w:rFonts w:hint="eastAsia" w:ascii="宋体" w:hAnsi="宋体"/>
          <w:b/>
          <w:sz w:val="32"/>
          <w:szCs w:val="32"/>
          <w:lang w:eastAsia="zh-CN"/>
        </w:rPr>
        <w:t>知识产权委托代理协议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甲方：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乙方：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北京企赋咨询管理有限公司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经双方协商，甲方委托乙方代理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申请项目，双方愿意就有关项目（产品）的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申请代理事项达成如下协议：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一、甲方同意委托乙方作为甲方的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申请代理方，乙方同意接受甲方委托，代理甲方的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申请。就每一项甲方委托乙方申请的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，乙方在收到甲方的指示后负责的代理工作包括：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1、撰写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申请文件；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2、向相应国家或地区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行政部门提交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申请及提出要求优先权的书面声明（如需）；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3、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申请经初步审查不合格的，负责修改、补正； 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4、代为及时、足额缴纳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申请过程中甲方需缴纳的申请费和实质审查费等官方收取的费用； 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5、及时请求相应国家或地区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行政部门对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申请进行实质审查并负责请求实质审查的相关资料；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color w:val="454545"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6、相应国家或地区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行政部门对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申请进行实质审查后，认为不符合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法规定的，应在相应国家或地区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行政部门指定的期限内陈述意见，或者对其申请进行修改；</w:t>
      </w:r>
      <w:r>
        <w:rPr>
          <w:rStyle w:val="10"/>
          <w:rFonts w:hint="eastAsia" w:ascii="宋体" w:hAnsi="宋体" w:eastAsia="宋体" w:cs="宋体"/>
          <w:color w:val="454545"/>
          <w:kern w:val="0"/>
          <w:sz w:val="24"/>
          <w:szCs w:val="24"/>
        </w:rPr>
        <w:t xml:space="preserve"> 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color w:val="454545"/>
          <w:kern w:val="0"/>
          <w:sz w:val="24"/>
          <w:szCs w:val="24"/>
        </w:rPr>
        <w:t>7、</w:t>
      </w:r>
      <w:r>
        <w:rPr>
          <w:rStyle w:val="10"/>
          <w:rFonts w:hint="eastAsia" w:ascii="宋体" w:hAnsi="宋体" w:eastAsia="宋体" w:cs="宋体"/>
          <w:sz w:val="24"/>
          <w:szCs w:val="24"/>
        </w:rPr>
        <w:t>代为领取并向甲方转发相应国家或地区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行政部门的相关通知；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8、代为及时、足额缴纳授权证书费并领取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证书；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9、及时提醒已经委托乙方办理的甲方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年费的缴付时间并应甲方要求代甲方向相应国家或地区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行政部门支付甲方名下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的年费；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10、甲方需撤回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申请的，乙方应代理甲方撤回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申请；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11、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申请的申请、受理、初审、公布、实审直至授权各阶段中发生的、需处理的其他事项。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上述服务事项的收费标准以后附表格为准。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二、甲方的委托项目应当以书面形式通知乙方，书面形式包括传真、电子邮件等，乙方收到甲方的书面通知即形成一件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案件的有效委托，为保证申请工作进展顺利，甲方通过书面形式指示乙方的申请项目须包括如下资料：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1、申请人姓名或名称、地址、发明人或设计人名单(若申请中有涉外因素，必要时提供相应的外文)；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2、需提交给相应国家或地区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行政部门的委托书（委托书模板由乙方提供），由甲方签字或盖章；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3、技术交底资料。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三、甲方应对委托乙方的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申请事务指定联系人，联系人的变动应及时通知乙方。否则，由此造成乙方无法与甲方及时联系产生的后果，乙方不承担责任。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四、乙方承诺在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代理服务中遵循以下准则：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1、在收到甲方提交的完整信息、技术资料和有关数据后完成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申请文件撰写并交甲方审核，申请文件待甲方审核确认后向相应国家或地区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行政部门递交；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2、在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申请递交后及时向甲方传递相应国家或地区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行政部门发出的中间文件并汇报相关进展；同时对相应国家或地区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行政部门发出的各种审查意见进行答复，答复提交前需甲方</w:t>
      </w:r>
      <w:r>
        <w:rPr>
          <w:rStyle w:val="10"/>
          <w:rFonts w:hint="eastAsia" w:ascii="宋体" w:hAnsi="宋体" w:eastAsia="宋体" w:cs="宋体"/>
          <w:color w:val="000000"/>
          <w:sz w:val="24"/>
          <w:szCs w:val="24"/>
        </w:rPr>
        <w:t>认可；审查意见引用的对比文件有外文的，甲方可以要求乙方提供翻译，翻译费双方根据外文语种及字数另行协商；审查意见引用的对比文件有英文以外的外文的，乙方可以要求就审查员引用的相关部分进行翻译，翻译费双方根据外文语种及字数另行协商，甲方不同意支付翻译费的，乙方可以根据对审查意见及对比文件的</w:t>
      </w:r>
      <w:r>
        <w:rPr>
          <w:rStyle w:val="10"/>
          <w:rFonts w:hint="eastAsia" w:ascii="宋体" w:hAnsi="宋体" w:eastAsia="宋体" w:cs="宋体"/>
          <w:color w:val="000000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color w:val="000000"/>
          <w:sz w:val="24"/>
          <w:szCs w:val="24"/>
        </w:rPr>
        <w:t>家族（如有）的理解进行答复；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3、未经甲方许可，不得将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代理事务转委托；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4、乙方对甲方所提供的技术资料负有保密义务；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5、根据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法要求指导甲方有关发明人补充、修改相关资料。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乙方应有义务向甲方提供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Fonts w:hint="eastAsia" w:ascii="宋体" w:hAnsi="宋体" w:eastAsia="宋体" w:cs="宋体"/>
          <w:sz w:val="24"/>
          <w:szCs w:val="24"/>
        </w:rPr>
        <w:t>申请中纸质版及电子版的过程文件以便于甲方存档。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五、甲方应真实地向乙方披露与进行的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申请必要的技术资料，为乙方撰写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申请文件提供技术资料方面的协助。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六、甲方应认真审核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申请文件，并核对有关信息，确认申请文件应以书面形式为之。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七、乙方对于甲方的授权案件提供收费的年费提醒服务。具体为，甲方若委托乙方办理授权事宜或后续年费缴纳事宜，乙方提供相应案件次年的年费提醒服务，代理权限至该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权终止；甲方自行办理授权事宜或缴纳年费的，视为终止委托，甲方自行监控相应案件后续年费，乙方不提供年费提醒服务；未获授权的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案件的代理权限至收到驳回通知书时或因甲方原因撤回、视为撤回时终止。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八、费用及支付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1、费用详见附件，官方费用有调整的，以实际官方费用为准；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2、附表中未列明的费用双方另行协商，其中分案申请的按普通新申请收取代理费及官方费用； 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3、官方费用及国外律师费为乙方代收代付；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4、甲方应在发出委托指示后10日内，乙方向甲方开具增值税专用发票，甲方收到发票后向乙方指定的帐户支付代理费及官方费用；</w:t>
      </w:r>
    </w:p>
    <w:p>
      <w:pPr>
        <w:spacing w:line="50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5、甲方在收到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申请费用总额的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100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</w:rPr>
        <w:t xml:space="preserve"> %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，即人民币(大写) 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肆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de-DE" w:eastAsia="zh-CN"/>
        </w:rPr>
        <w:t>仟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伍佰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de-DE" w:eastAsia="zh-CN"/>
        </w:rPr>
        <w:t>元整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</w:rPr>
        <w:t xml:space="preserve">（￥ 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4500.00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</w:rPr>
        <w:t xml:space="preserve"> ）</w:t>
      </w:r>
      <w:r>
        <w:rPr>
          <w:rStyle w:val="10"/>
          <w:rFonts w:hint="eastAsia" w:ascii="宋体" w:hAnsi="宋体" w:eastAsia="宋体" w:cs="宋体"/>
          <w:sz w:val="24"/>
          <w:szCs w:val="24"/>
          <w:u w:val="single"/>
          <w:lang w:eastAsia="zh-CN"/>
        </w:rPr>
        <w:t>，开具同等金额发票。</w:t>
      </w:r>
    </w:p>
    <w:p>
      <w:pPr>
        <w:tabs>
          <w:tab w:val="left" w:pos="945"/>
        </w:tabs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Style w:val="10"/>
          <w:rFonts w:hint="eastAsia" w:ascii="宋体" w:hAnsi="宋体" w:eastAsia="宋体" w:cs="宋体"/>
          <w:sz w:val="24"/>
          <w:szCs w:val="24"/>
        </w:rPr>
        <w:t>、乙方的指定帐户为：</w:t>
      </w:r>
    </w:p>
    <w:p>
      <w:pPr>
        <w:tabs>
          <w:tab w:val="left" w:pos="945"/>
        </w:tabs>
        <w:spacing w:line="520" w:lineRule="exact"/>
        <w:ind w:firstLine="480" w:firstLineChars="200"/>
        <w:jc w:val="left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北京企赋咨询管理有限公司 银行账户634258005 </w:t>
      </w:r>
    </w:p>
    <w:p>
      <w:pPr>
        <w:tabs>
          <w:tab w:val="left" w:pos="945"/>
        </w:tabs>
        <w:spacing w:line="520" w:lineRule="exact"/>
        <w:ind w:firstLine="480" w:firstLineChars="200"/>
        <w:jc w:val="left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中国民生银行股份有限公司北京通州支行 开户行代码305100001555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九、乙方完成初稿后，甲方指示取消案件，甲方应支付全额代理费，已支付的代理费不予退还，未产生的官方费用乙方应退还甲方。乙方发出检索结果后取消案件的，甲方应支付全额代理费的20%，剩余代理费应退还甲方，未产生的官方费用乙方应退还甲方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十、因乙方过错造成甲方的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申请形成被视为撤回处置的，乙方应负责恢复，不能恢复的，退还甲方已支付的相应案件的代理费用。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十一、本协议由双方签字或盖章后生效。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十二、本协议长期有效，甲方可以随时通知解除本协议，但必须支付已经委托的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知识产权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案件的费用；乙方每年可以与甲方协商调整附表所示费用，协商不成的，乙方有权解除本协议。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十三、履行本协议及因本协议所产生的争议，由双方协商解决。协商不成的，向原告方所在地法院起诉。 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十四、本协议一式叁份，甲方执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贰</w:t>
      </w:r>
      <w:r>
        <w:rPr>
          <w:rStyle w:val="10"/>
          <w:rFonts w:hint="eastAsia" w:ascii="宋体" w:hAnsi="宋体" w:eastAsia="宋体" w:cs="宋体"/>
          <w:sz w:val="24"/>
          <w:szCs w:val="24"/>
        </w:rPr>
        <w:t>份，乙方执壹份，具同等法律效力。</w:t>
      </w:r>
    </w:p>
    <w:p>
      <w:pPr>
        <w:spacing w:line="520" w:lineRule="exact"/>
        <w:rPr>
          <w:rStyle w:val="10"/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20" w:lineRule="exact"/>
        <w:rPr>
          <w:rStyle w:val="10"/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520" w:lineRule="exact"/>
        <w:rPr>
          <w:rStyle w:val="10"/>
          <w:rFonts w:hint="eastAsia" w:ascii="宋体" w:hAnsi="宋体" w:eastAsia="宋体" w:cs="宋体"/>
          <w:b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sz w:val="24"/>
          <w:szCs w:val="24"/>
        </w:rPr>
        <w:t xml:space="preserve">甲  方: 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  <w:r>
        <w:rPr>
          <w:rStyle w:val="10"/>
          <w:rFonts w:hint="eastAsia" w:ascii="宋体" w:hAnsi="宋体" w:eastAsia="宋体" w:cs="宋体"/>
          <w:b/>
          <w:sz w:val="24"/>
          <w:szCs w:val="24"/>
        </w:rPr>
        <w:t xml:space="preserve"> 乙  方: </w:t>
      </w:r>
      <w:r>
        <w:rPr>
          <w:rStyle w:val="10"/>
          <w:rFonts w:hint="eastAsia" w:ascii="宋体" w:hAnsi="宋体" w:eastAsia="宋体" w:cs="宋体"/>
          <w:sz w:val="24"/>
          <w:szCs w:val="24"/>
          <w:lang w:eastAsia="zh-CN"/>
        </w:rPr>
        <w:t>北京企赋咨询管理有限公司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代  表:                      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Style w:val="10"/>
          <w:rFonts w:hint="eastAsia" w:ascii="宋体" w:hAnsi="宋体" w:eastAsia="宋体" w:cs="宋体"/>
          <w:sz w:val="24"/>
          <w:szCs w:val="24"/>
        </w:rPr>
        <w:t>代  表:</w:t>
      </w:r>
    </w:p>
    <w:p>
      <w:pPr>
        <w:spacing w:line="520" w:lineRule="exact"/>
        <w:ind w:firstLine="480" w:firstLineChars="200"/>
        <w:rPr>
          <w:rStyle w:val="10"/>
          <w:rFonts w:hint="eastAsia" w:ascii="宋体" w:hAnsi="宋体" w:eastAsia="宋体" w:cs="宋体"/>
          <w:sz w:val="24"/>
          <w:szCs w:val="24"/>
        </w:rPr>
      </w:pPr>
      <w:r>
        <w:rPr>
          <w:rStyle w:val="10"/>
          <w:rFonts w:hint="eastAsia" w:ascii="宋体" w:hAnsi="宋体" w:eastAsia="宋体" w:cs="宋体"/>
          <w:sz w:val="24"/>
          <w:szCs w:val="24"/>
        </w:rPr>
        <w:t>202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sz w:val="24"/>
          <w:szCs w:val="24"/>
        </w:rPr>
        <w:t>年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月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日                  202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Style w:val="10"/>
          <w:rFonts w:hint="eastAsia" w:ascii="宋体" w:hAnsi="宋体" w:eastAsia="宋体" w:cs="宋体"/>
          <w:sz w:val="24"/>
          <w:szCs w:val="24"/>
        </w:rPr>
        <w:t>年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月</w:t>
      </w:r>
      <w:r>
        <w:rPr>
          <w:rStyle w:val="10"/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Style w:val="10"/>
          <w:rFonts w:hint="eastAsia" w:ascii="宋体" w:hAnsi="宋体" w:eastAsia="宋体" w:cs="宋体"/>
          <w:sz w:val="24"/>
          <w:szCs w:val="24"/>
        </w:rPr>
        <w:t>日</w:t>
      </w:r>
    </w:p>
    <w:p>
      <w:pPr>
        <w:rPr>
          <w:rStyle w:val="10"/>
          <w:rFonts w:hint="eastAsia" w:ascii="宋体" w:hAnsi="宋体" w:eastAsia="宋体" w:cs="宋体"/>
          <w:vanish/>
          <w:sz w:val="24"/>
          <w:szCs w:val="24"/>
        </w:rPr>
      </w:pPr>
    </w:p>
    <w:p>
      <w:pPr>
        <w:tabs>
          <w:tab w:val="left" w:pos="945"/>
        </w:tabs>
        <w:spacing w:line="500" w:lineRule="exact"/>
        <w:rPr>
          <w:rStyle w:val="10"/>
          <w:rFonts w:hint="eastAsia" w:ascii="宋体" w:hAnsi="宋体" w:eastAsia="宋体" w:cs="宋体"/>
          <w:sz w:val="24"/>
          <w:szCs w:val="24"/>
          <w:lang w:val="de-DE"/>
        </w:rPr>
      </w:pPr>
    </w:p>
    <w:tbl>
      <w:tblPr>
        <w:tblStyle w:val="4"/>
        <w:tblW w:w="8974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1"/>
        <w:gridCol w:w="4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4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甲方联系人：</w:t>
            </w:r>
          </w:p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电话：</w:t>
            </w:r>
          </w:p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地址： </w:t>
            </w:r>
          </w:p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乙方联系人：</w:t>
            </w:r>
          </w:p>
          <w:p>
            <w:pPr>
              <w:spacing w:line="520" w:lineRule="exact"/>
              <w:rPr>
                <w:rStyle w:val="10"/>
                <w:rFonts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电话：</w:t>
            </w:r>
          </w:p>
          <w:p>
            <w:pPr>
              <w:spacing w:line="520" w:lineRule="exact"/>
              <w:rPr>
                <w:rStyle w:val="10"/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Style w:val="10"/>
                <w:rFonts w:ascii="宋体" w:hAnsi="宋体"/>
                <w:sz w:val="24"/>
              </w:rPr>
              <w:t>地址：北京市</w:t>
            </w:r>
            <w:r>
              <w:rPr>
                <w:rStyle w:val="10"/>
                <w:rFonts w:hint="eastAsia" w:ascii="宋体" w:hAnsi="宋体"/>
                <w:sz w:val="24"/>
              </w:rPr>
              <w:t>通州区通州北关新光大中心</w:t>
            </w:r>
            <w:r>
              <w:rPr>
                <w:rStyle w:val="10"/>
                <w:rFonts w:hint="eastAsia" w:ascii="宋体" w:hAnsi="宋体"/>
                <w:sz w:val="24"/>
                <w:lang w:val="en-US" w:eastAsia="zh-CN"/>
              </w:rPr>
              <w:t>8A1612</w:t>
            </w:r>
          </w:p>
        </w:tc>
      </w:tr>
    </w:tbl>
    <w:p>
      <w:pPr>
        <w:tabs>
          <w:tab w:val="left" w:pos="945"/>
        </w:tabs>
        <w:spacing w:line="500" w:lineRule="exact"/>
        <w:rPr>
          <w:rStyle w:val="10"/>
          <w:rFonts w:ascii="宋体" w:hAnsi="宋体"/>
          <w:sz w:val="24"/>
          <w:lang w:val="de-DE"/>
        </w:rPr>
      </w:pPr>
    </w:p>
    <w:p>
      <w:pPr>
        <w:tabs>
          <w:tab w:val="left" w:pos="945"/>
        </w:tabs>
        <w:spacing w:line="500" w:lineRule="exact"/>
        <w:rPr>
          <w:rStyle w:val="10"/>
          <w:rFonts w:ascii="宋体" w:hAnsi="宋体"/>
          <w:sz w:val="24"/>
          <w:szCs w:val="24"/>
          <w:lang w:val="de-DE"/>
        </w:rPr>
      </w:pPr>
      <w:r>
        <w:rPr>
          <w:rStyle w:val="10"/>
          <w:rFonts w:ascii="宋体" w:hAnsi="宋体"/>
          <w:sz w:val="24"/>
          <w:lang w:val="de-DE"/>
        </w:rPr>
        <w:br w:type="page"/>
      </w:r>
      <w:r>
        <w:rPr>
          <w:rStyle w:val="10"/>
          <w:rFonts w:ascii="宋体" w:hAnsi="宋体"/>
          <w:sz w:val="24"/>
          <w:szCs w:val="24"/>
          <w:lang w:val="de-DE"/>
        </w:rPr>
        <w:t>附件一：</w:t>
      </w:r>
    </w:p>
    <w:p>
      <w:pPr>
        <w:tabs>
          <w:tab w:val="left" w:pos="945"/>
        </w:tabs>
        <w:spacing w:line="500" w:lineRule="exact"/>
        <w:jc w:val="center"/>
        <w:rPr>
          <w:rStyle w:val="10"/>
          <w:rFonts w:ascii="宋体" w:hAnsi="宋体"/>
          <w:sz w:val="32"/>
          <w:szCs w:val="32"/>
          <w:lang w:val="de-DE"/>
        </w:rPr>
      </w:pPr>
      <w:r>
        <w:rPr>
          <w:rStyle w:val="10"/>
          <w:rFonts w:hint="eastAsia" w:ascii="宋体" w:hAnsi="宋体"/>
          <w:sz w:val="32"/>
          <w:szCs w:val="32"/>
          <w:lang w:val="de-DE" w:eastAsia="zh-CN"/>
        </w:rPr>
        <w:t>知识产权</w:t>
      </w:r>
      <w:r>
        <w:rPr>
          <w:rStyle w:val="10"/>
          <w:rFonts w:ascii="宋体" w:hAnsi="宋体"/>
          <w:sz w:val="32"/>
          <w:szCs w:val="32"/>
          <w:lang w:val="de-DE"/>
        </w:rPr>
        <w:t>申请费用</w:t>
      </w:r>
      <w:r>
        <w:rPr>
          <w:rStyle w:val="10"/>
          <w:rFonts w:hint="eastAsia" w:ascii="宋体" w:hAnsi="宋体"/>
          <w:sz w:val="32"/>
          <w:szCs w:val="32"/>
          <w:lang w:val="de-DE"/>
        </w:rPr>
        <w:t>报价</w:t>
      </w:r>
      <w:r>
        <w:rPr>
          <w:rStyle w:val="10"/>
          <w:rFonts w:ascii="宋体" w:hAnsi="宋体"/>
          <w:sz w:val="32"/>
          <w:szCs w:val="32"/>
          <w:lang w:val="de-DE"/>
        </w:rPr>
        <w:t>表</w:t>
      </w:r>
    </w:p>
    <w:tbl>
      <w:tblPr>
        <w:tblStyle w:val="4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559"/>
        <w:gridCol w:w="85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项目名称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单价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de-DE"/>
              </w:rPr>
              <w:t xml:space="preserve">     </w:t>
            </w: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（元/件）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件数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总价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de-DE"/>
              </w:rPr>
              <w:t xml:space="preserve">    （含官费）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4"/>
                <w:szCs w:val="24"/>
                <w:lang w:val="de-DE" w:eastAsia="zh-CN"/>
              </w:rPr>
              <w:t>一种基于水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(地)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de-DE" w:eastAsia="zh-CN"/>
              </w:rPr>
              <w:t>源热泵机组的空气源热泵系统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eastAsia" w:ascii="宋体" w:hAnsi="宋体" w:eastAsia="宋体"/>
                <w:sz w:val="24"/>
                <w:szCs w:val="24"/>
                <w:lang w:val="de-DE" w:eastAsia="zh-C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eastAsia" w:ascii="宋体" w:hAnsi="宋体" w:eastAsia="宋体"/>
                <w:sz w:val="24"/>
                <w:szCs w:val="24"/>
                <w:lang w:val="de-DE" w:eastAsia="zh-CN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45"/>
              </w:tabs>
              <w:spacing w:line="500" w:lineRule="exact"/>
              <w:jc w:val="center"/>
              <w:rPr>
                <w:rStyle w:val="10"/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合计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45"/>
              </w:tabs>
              <w:spacing w:line="500" w:lineRule="exact"/>
              <w:rPr>
                <w:rStyle w:val="10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小写：￥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4500.00</w:t>
            </w:r>
          </w:p>
          <w:p>
            <w:pPr>
              <w:tabs>
                <w:tab w:val="left" w:pos="945"/>
              </w:tabs>
              <w:spacing w:line="500" w:lineRule="exact"/>
              <w:rPr>
                <w:rStyle w:val="10"/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ascii="宋体" w:hAnsi="宋体"/>
                <w:sz w:val="24"/>
                <w:szCs w:val="24"/>
                <w:lang w:val="de-DE"/>
              </w:rPr>
              <w:t>大写：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肆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de-DE" w:eastAsia="zh-CN"/>
              </w:rPr>
              <w:t>仟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en-US" w:eastAsia="zh-CN"/>
              </w:rPr>
              <w:t>伍佰</w:t>
            </w:r>
            <w:r>
              <w:rPr>
                <w:rStyle w:val="10"/>
                <w:rFonts w:hint="eastAsia" w:ascii="宋体" w:hAnsi="宋体"/>
                <w:sz w:val="24"/>
                <w:szCs w:val="24"/>
                <w:lang w:val="de-DE" w:eastAsia="zh-CN"/>
              </w:rPr>
              <w:t>元整</w:t>
            </w:r>
          </w:p>
        </w:tc>
      </w:tr>
    </w:tbl>
    <w:p>
      <w:pPr>
        <w:tabs>
          <w:tab w:val="left" w:pos="945"/>
        </w:tabs>
        <w:spacing w:line="500" w:lineRule="exact"/>
        <w:jc w:val="center"/>
        <w:rPr>
          <w:rStyle w:val="10"/>
          <w:rFonts w:ascii="宋体" w:hAnsi="宋体"/>
          <w:sz w:val="24"/>
          <w:szCs w:val="24"/>
          <w:lang w:val="de-DE"/>
        </w:rPr>
      </w:pPr>
    </w:p>
    <w:p>
      <w:pPr>
        <w:tabs>
          <w:tab w:val="left" w:pos="945"/>
        </w:tabs>
        <w:spacing w:line="500" w:lineRule="exact"/>
        <w:rPr>
          <w:rStyle w:val="10"/>
          <w:rFonts w:ascii="宋体" w:hAnsi="宋体"/>
          <w:sz w:val="24"/>
          <w:lang w:val="de-DE"/>
        </w:rPr>
      </w:pPr>
    </w:p>
    <w:sectPr>
      <w:footerReference r:id="rId3" w:type="default"/>
      <w:pgSz w:w="11906" w:h="16838"/>
      <w:pgMar w:top="1440" w:right="146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1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Q1N2ZhMjZmYjdmYjY1ODJlZTlhOTA0MzBkOWY2MTYifQ=="/>
  </w:docVars>
  <w:rsids>
    <w:rsidRoot w:val="00873E2D"/>
    <w:rsid w:val="00053ADA"/>
    <w:rsid w:val="00087F5D"/>
    <w:rsid w:val="001531FA"/>
    <w:rsid w:val="00161FE7"/>
    <w:rsid w:val="001B7E9A"/>
    <w:rsid w:val="001D58BF"/>
    <w:rsid w:val="00215AE3"/>
    <w:rsid w:val="002909A2"/>
    <w:rsid w:val="002B1928"/>
    <w:rsid w:val="002D2A39"/>
    <w:rsid w:val="0032267B"/>
    <w:rsid w:val="00326165"/>
    <w:rsid w:val="00441945"/>
    <w:rsid w:val="00453C45"/>
    <w:rsid w:val="0046397B"/>
    <w:rsid w:val="0047744C"/>
    <w:rsid w:val="004A56F4"/>
    <w:rsid w:val="00531AFE"/>
    <w:rsid w:val="00580279"/>
    <w:rsid w:val="005962BA"/>
    <w:rsid w:val="005B0F92"/>
    <w:rsid w:val="005C260F"/>
    <w:rsid w:val="005D4338"/>
    <w:rsid w:val="0063513F"/>
    <w:rsid w:val="00643086"/>
    <w:rsid w:val="00680F4C"/>
    <w:rsid w:val="00686661"/>
    <w:rsid w:val="006868F8"/>
    <w:rsid w:val="00702CB9"/>
    <w:rsid w:val="007213A7"/>
    <w:rsid w:val="007723DE"/>
    <w:rsid w:val="007A307F"/>
    <w:rsid w:val="007A42B7"/>
    <w:rsid w:val="007B039E"/>
    <w:rsid w:val="007D51F9"/>
    <w:rsid w:val="007E3B4C"/>
    <w:rsid w:val="007F537D"/>
    <w:rsid w:val="008056F5"/>
    <w:rsid w:val="008077CB"/>
    <w:rsid w:val="00811802"/>
    <w:rsid w:val="00847257"/>
    <w:rsid w:val="00873E2D"/>
    <w:rsid w:val="008B14F9"/>
    <w:rsid w:val="008C4AEB"/>
    <w:rsid w:val="0095521D"/>
    <w:rsid w:val="00976671"/>
    <w:rsid w:val="00995EB4"/>
    <w:rsid w:val="009E408F"/>
    <w:rsid w:val="009E7E5B"/>
    <w:rsid w:val="00A231AA"/>
    <w:rsid w:val="00A371EC"/>
    <w:rsid w:val="00A74CF1"/>
    <w:rsid w:val="00A955E6"/>
    <w:rsid w:val="00AB20EC"/>
    <w:rsid w:val="00AC69B9"/>
    <w:rsid w:val="00AF53A0"/>
    <w:rsid w:val="00B77A97"/>
    <w:rsid w:val="00BF7DB9"/>
    <w:rsid w:val="00C753AB"/>
    <w:rsid w:val="00C76608"/>
    <w:rsid w:val="00CD0C81"/>
    <w:rsid w:val="00CD4379"/>
    <w:rsid w:val="00D3657F"/>
    <w:rsid w:val="00DA69EB"/>
    <w:rsid w:val="00DF1A35"/>
    <w:rsid w:val="00E018A3"/>
    <w:rsid w:val="00E30996"/>
    <w:rsid w:val="00E50B47"/>
    <w:rsid w:val="00EB2167"/>
    <w:rsid w:val="00EB34D6"/>
    <w:rsid w:val="00ED1985"/>
    <w:rsid w:val="00EE2C08"/>
    <w:rsid w:val="00F2765D"/>
    <w:rsid w:val="00F849E2"/>
    <w:rsid w:val="00FA070A"/>
    <w:rsid w:val="00FA08D2"/>
    <w:rsid w:val="00FB3BED"/>
    <w:rsid w:val="00FD2248"/>
    <w:rsid w:val="00FE195F"/>
    <w:rsid w:val="074D7460"/>
    <w:rsid w:val="0EBB67B4"/>
    <w:rsid w:val="1A804E8F"/>
    <w:rsid w:val="1B382B7B"/>
    <w:rsid w:val="1FA57215"/>
    <w:rsid w:val="20497E0E"/>
    <w:rsid w:val="20B923E4"/>
    <w:rsid w:val="21170C20"/>
    <w:rsid w:val="39E97FEE"/>
    <w:rsid w:val="3B832B76"/>
    <w:rsid w:val="401069C0"/>
    <w:rsid w:val="47932EBE"/>
    <w:rsid w:val="4D493511"/>
    <w:rsid w:val="4DD92F89"/>
    <w:rsid w:val="4E0E63A8"/>
    <w:rsid w:val="55F825F2"/>
    <w:rsid w:val="619C2ACB"/>
    <w:rsid w:val="636C4ACD"/>
    <w:rsid w:val="7138107D"/>
    <w:rsid w:val="77B60551"/>
    <w:rsid w:val="7A392B6C"/>
    <w:rsid w:val="7A4361B8"/>
    <w:rsid w:val="7A9C0875"/>
    <w:rsid w:val="7F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center"/>
    </w:pPr>
    <w:rPr>
      <w:rFonts w:cs="Times New Roman"/>
      <w:b/>
      <w:bCs/>
      <w:kern w:val="44"/>
      <w:sz w:val="36"/>
      <w:szCs w:val="4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rFonts w:cs="Times New Roman"/>
      <w:b/>
      <w:bCs/>
      <w:sz w:val="28"/>
      <w:szCs w:val="32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13"/>
    <w:qFormat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3">
    <w:name w:val="AnnotationSubject"/>
    <w:basedOn w:val="14"/>
    <w:next w:val="14"/>
    <w:link w:val="12"/>
    <w:qFormat/>
    <w:uiPriority w:val="0"/>
    <w:rPr>
      <w:rFonts w:cs="Times New Roman"/>
      <w:b/>
      <w:bCs/>
      <w:szCs w:val="24"/>
    </w:rPr>
  </w:style>
  <w:style w:type="paragraph" w:customStyle="1" w:styleId="14">
    <w:name w:val="AnnotationText"/>
    <w:basedOn w:val="1"/>
    <w:link w:val="17"/>
    <w:qFormat/>
    <w:uiPriority w:val="0"/>
    <w:pPr>
      <w:jc w:val="left"/>
    </w:pPr>
    <w:rPr>
      <w:szCs w:val="20"/>
    </w:rPr>
  </w:style>
  <w:style w:type="character" w:customStyle="1" w:styleId="15">
    <w:name w:val="PageNumber"/>
    <w:basedOn w:val="10"/>
    <w:qFormat/>
    <w:uiPriority w:val="0"/>
  </w:style>
  <w:style w:type="character" w:customStyle="1" w:styleId="16">
    <w:name w:val="AnnotationReference"/>
    <w:qFormat/>
    <w:uiPriority w:val="0"/>
    <w:rPr>
      <w:sz w:val="21"/>
      <w:szCs w:val="21"/>
    </w:rPr>
  </w:style>
  <w:style w:type="character" w:customStyle="1" w:styleId="17">
    <w:name w:val="UserStyle_1"/>
    <w:link w:val="14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8">
    <w:name w:val="TOC1"/>
    <w:basedOn w:val="1"/>
    <w:next w:val="1"/>
    <w:semiHidden/>
    <w:qFormat/>
    <w:uiPriority w:val="0"/>
  </w:style>
  <w:style w:type="paragraph" w:customStyle="1" w:styleId="19">
    <w:name w:val="Acetate"/>
    <w:basedOn w:val="1"/>
    <w:semiHidden/>
    <w:qFormat/>
    <w:uiPriority w:val="0"/>
    <w:rPr>
      <w:sz w:val="18"/>
      <w:szCs w:val="18"/>
    </w:rPr>
  </w:style>
  <w:style w:type="paragraph" w:customStyle="1" w:styleId="20">
    <w:name w:val="UserStyle_2"/>
    <w:basedOn w:val="18"/>
    <w:qFormat/>
    <w:uiPriority w:val="0"/>
    <w:pPr>
      <w:jc w:val="center"/>
    </w:pPr>
    <w:rPr>
      <w:rFonts w:eastAsia="方正小标宋简体"/>
      <w:sz w:val="64"/>
      <w:szCs w:val="20"/>
    </w:rPr>
  </w:style>
  <w:style w:type="table" w:customStyle="1" w:styleId="21">
    <w:name w:val="TableGrid"/>
    <w:basedOn w:val="1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460</Words>
  <Characters>2622</Characters>
  <Lines>21</Lines>
  <Paragraphs>6</Paragraphs>
  <TotalTime>1</TotalTime>
  <ScaleCrop>false</ScaleCrop>
  <LinksUpToDate>false</LinksUpToDate>
  <CharactersWithSpaces>3076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2020-06-05T06:03:00Z</dcterms:created>
  <dc:creator>Administrator</dc:creator>
  <cp:lastModifiedBy>孙方涛</cp:lastModifiedBy>
  <cp:lastPrinted>2020-07-02T01:32:00Z</cp:lastPrinted>
  <dcterms:modified xsi:type="dcterms:W3CDTF">2022-09-05T03:00:35Z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10D5FB0F286B43629724F37A6866806C</vt:lpwstr>
  </property>
</Properties>
</file>