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400"/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关于</w:t>
      </w:r>
      <w:r>
        <w:rPr>
          <w:rFonts w:hint="eastAsia"/>
          <w:b/>
          <w:bCs/>
          <w:sz w:val="36"/>
          <w:szCs w:val="36"/>
        </w:rPr>
        <w:t>北方管道公司直燃机</w:t>
      </w:r>
      <w:r>
        <w:rPr>
          <w:rFonts w:hint="eastAsia"/>
          <w:b/>
          <w:bCs/>
          <w:sz w:val="36"/>
          <w:szCs w:val="36"/>
          <w:lang w:eastAsia="zh-CN"/>
        </w:rPr>
        <w:t>组</w:t>
      </w:r>
      <w:r>
        <w:rPr>
          <w:rFonts w:hint="eastAsia"/>
          <w:b/>
          <w:bCs/>
          <w:sz w:val="36"/>
          <w:szCs w:val="36"/>
        </w:rPr>
        <w:t>问题回函</w:t>
      </w: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致：中航物业管理有限公司廊坊分公司</w:t>
      </w:r>
    </w:p>
    <w:p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我司（北京三汇能环科技发展有限公司）已收到贵司发来的关于北方管道公司直燃机组问题的函，现针对函内机组现存问题回复如下：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一、存在的问题</w:t>
      </w:r>
    </w:p>
    <w:p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今年夏天对直燃机多次巡检时，发现三台直燃机的冷却水进口温度高达31-32度以上，检查发现是因为冷却塔填料年久老化，坍塌脱落，冷却水在填料上无法均匀分布，散热面积大幅减少，冷却效果变差，造成冷却水温度升高，加之冷却塔四周加装的降噪墙也会减少冷却塔的降温风速，一定程度影响冷却塔的散热效果。为了保证直燃机的制冷效率，建议对冷却塔的填料进行更换。</w:t>
      </w:r>
    </w:p>
    <w:p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号直燃机冷凝器温度过高，冷却水进出口温差较大，经我司技术员检查发现，1号直燃机吸收器、冷凝器铜管水侧结垢比较严重，不能有效地把直燃机内部的热量传递给冷却水，使机组整体温度偏高，不仅造成直燃机换热效率降低，而且使直燃机燃气耗量增加。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二、解决方案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1、更换冷却塔填料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冷却塔是中央空调系统的关键部件之一，冷水管道把各房间末端的热量传给直燃机，冷却水系统把直燃机的热量通过冷却塔散发到大气中，如果冷却塔散热效果不良，则直燃机中的热量散发不出来，使得直燃机的冷水出口温度升高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冷却塔填料在使用4年后要不定期的进行更换，以保证冷却塔的正常工作效率，年数已久存在老化现象，部分填料已脱落，导致冷却塔的换热能力下降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影响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直燃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机组运行效率，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浪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费大量的能源。同时，破碎的冷却塔填料随着冷却水泵的运行进入到了机组的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冷却水过滤器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内，导致机组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冷却水系统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会有堵塞现象。</w:t>
      </w:r>
    </w:p>
    <w:p>
      <w:pPr>
        <w:numPr>
          <w:ilvl w:val="0"/>
          <w:numId w:val="0"/>
        </w:numPr>
        <w:ind w:firstLine="562" w:firstLineChars="200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冷却塔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更换填料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步骤：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拆除冷却塔内部拉筋；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拆除冷却塔填料；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清理底部集水盘，及时运出水碱垃圾；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清理顶部布水槽；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穿接新填料；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装入新冷却塔填料；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装冷却塔拉筋；</w:t>
      </w:r>
    </w:p>
    <w:p>
      <w:pPr>
        <w:numPr>
          <w:ilvl w:val="0"/>
          <w:numId w:val="2"/>
        </w:num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清理现场，垃圾及时运出工地。</w:t>
      </w:r>
    </w:p>
    <w:p>
      <w:pPr>
        <w:numPr>
          <w:ilvl w:val="0"/>
          <w:numId w:val="0"/>
        </w:numPr>
        <w:ind w:left="560" w:left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2、1#直燃机结垢原因及清洗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循环冷却水系统不是一个封闭的系统，塔池直接与外部世界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接触，由外界带来的污染物更多。因在塔池周围的粉尘、泥沙、杂草、树叶等杂物，在有风的日子里极易进入冷却塔水池。这些有机和无机杂质，可以与水一起通过管道、热交换器，并在其表面沉积下来形成污垢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号直燃机冷却水系统污物较多，经常造成其管道过滤器堵塞，从而机组吸收器冷凝器铜管中冷却水流速降低、水温度升高，水的浓缩倍数增加，结垢趋势加重，严重影响水质处理药剂的效果，使得机组吸收器冷凝器铜管结垢加重。建议对1号直燃机吸收器冷凝器铜管水侧进行化学清洗。</w:t>
      </w:r>
    </w:p>
    <w:p>
      <w:pPr>
        <w:numPr>
          <w:ilvl w:val="0"/>
          <w:numId w:val="0"/>
        </w:numPr>
        <w:ind w:left="560"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化学清洗流程</w:t>
      </w:r>
    </w:p>
    <w:p>
      <w:pPr>
        <w:numPr>
          <w:ilvl w:val="0"/>
          <w:numId w:val="0"/>
        </w:numPr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（1）系统检查确认：清洗前打开机组水室端盖，检查结垢状况，同时还应检查主机的外部综合状况和性能，电控箱需遮盖，以避免液体溅到电控箱。</w:t>
      </w:r>
    </w:p>
    <w:p>
      <w:pPr>
        <w:numPr>
          <w:ilvl w:val="0"/>
          <w:numId w:val="0"/>
        </w:numPr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（2）当主机铜管结垢严重而堵管的情况下，必须使用物理法疏通铜管（即高压射流物理清洗）。 </w:t>
      </w:r>
    </w:p>
    <w:p>
      <w:pPr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（3）清洗系统补满水后，启动清洗泵开式循环，检查清洗系统是否存在泄漏。</w:t>
      </w:r>
    </w:p>
    <w:p>
      <w:pPr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（4）首先投加缓蚀剂，按照清洗系统保有水量投加。循环 15 分钟以上确保缓蚀剂已经溶解且循环均匀后才能加清洗剂。 </w:t>
      </w:r>
    </w:p>
    <w:p>
      <w:pPr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（5）加入清洗剂时缓慢进行，清洗剂在清洗水箱内溶解后再打入清洗循环系统。 </w:t>
      </w:r>
    </w:p>
    <w:p>
      <w:pPr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（6）通过控制加清洗剂速度来控制反应速度，使其与机组被清洗部位充分接触，同时避免出现系统大量气体涨破清洗软管的情况及有可能在内形成“气阻”而造成部分铜管清洗不彻底。 </w:t>
      </w:r>
    </w:p>
    <w:p>
      <w:pPr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（7）停止循环后，排掉少部分清洗剂。打开被清洗部件端盖检查清洗效果，待确认良好后清洗工作结束，排掉清洗剂，用高压水枪将铜管冲洗干净。</w:t>
      </w:r>
    </w:p>
    <w:p>
      <w:pPr>
        <w:numPr>
          <w:ilvl w:val="0"/>
          <w:numId w:val="0"/>
        </w:numPr>
        <w:ind w:left="560" w:leftChars="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（8）冲洗完毕，上好盖板，清理现场卫生，通知甲方维修工作结束。</w:t>
      </w:r>
    </w:p>
    <w:p>
      <w:pPr>
        <w:numPr>
          <w:ilvl w:val="0"/>
          <w:numId w:val="0"/>
        </w:numPr>
        <w:ind w:left="560" w:leftChars="0" w:firstLine="560" w:firstLineChars="2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                 北京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三汇能环科技发展有限公司</w:t>
      </w:r>
    </w:p>
    <w:p>
      <w:pPr>
        <w:numPr>
          <w:ilvl w:val="0"/>
          <w:numId w:val="0"/>
        </w:numPr>
        <w:ind w:left="560" w:leftChars="0" w:firstLine="560" w:firstLineChars="20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                      2022年8月17日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rFonts w:hint="eastAsia"/>
      </w:rPr>
      <w:drawing>
        <wp:inline distT="0" distB="0" distL="114300" distR="114300">
          <wp:extent cx="720725" cy="720090"/>
          <wp:effectExtent l="0" t="0" r="10795" b="11430"/>
          <wp:docPr id="1" name="图片 1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三汇能环  服务冷暖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1AE4A"/>
    <w:multiLevelType w:val="singleLevel"/>
    <w:tmpl w:val="8D21AE4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348D42E"/>
    <w:multiLevelType w:val="singleLevel"/>
    <w:tmpl w:val="B348D42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mZiYWY0MDA4ZDVjNTRhNGRmZWE1NTc4MmY2NzMifQ=="/>
  </w:docVars>
  <w:rsids>
    <w:rsidRoot w:val="00000000"/>
    <w:rsid w:val="5CBA61B8"/>
    <w:rsid w:val="7861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312</Characters>
  <Lines>0</Lines>
  <Paragraphs>0</Paragraphs>
  <TotalTime>1</TotalTime>
  <ScaleCrop>false</ScaleCrop>
  <LinksUpToDate>false</LinksUpToDate>
  <CharactersWithSpaces>324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2022-08-15T05:49:00Z</dcterms:created>
  <dc:creator>a</dc:creator>
  <cp:lastModifiedBy>王者归来</cp:lastModifiedBy>
  <dcterms:modified xsi:type="dcterms:W3CDTF">2022-08-17T08:42:52Z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60A076662FC34AEF99863EAD71A60EAE</vt:lpwstr>
  </property>
</Properties>
</file>