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210" w:leftChars="100" w:firstLine="2008" w:firstLineChars="500"/>
        <w:rPr>
          <w:rFonts w:ascii="宋体"/>
          <w:b/>
        </w:rPr>
      </w:pPr>
      <w:r>
        <w:rPr>
          <w:rFonts w:hint="eastAsia" w:ascii="宋体" w:hAnsi="宋体"/>
          <w:b/>
          <w:color w:val="000000"/>
          <w:kern w:val="0"/>
          <w:sz w:val="40"/>
          <w:szCs w:val="28"/>
          <w:lang w:val="en-AU"/>
        </w:rPr>
        <w:t>特种作业安全责任承诺书</w:t>
      </w:r>
      <w:r>
        <w:rPr>
          <w:rFonts w:hint="eastAsia" w:ascii="宋体" w:hAnsi="宋体"/>
          <w:b/>
          <w:color w:val="000000"/>
          <w:kern w:val="0"/>
          <w:sz w:val="40"/>
          <w:szCs w:val="28"/>
          <w:lang w:val="en-AU"/>
        </w:rPr>
        <w:cr/>
      </w:r>
      <w:r>
        <w:rPr>
          <w:rFonts w:hint="eastAsia" w:ascii="宋体"/>
          <w:b/>
        </w:rPr>
        <w:t xml:space="preserve"> </w:t>
      </w:r>
      <w:r>
        <w:rPr>
          <w:rFonts w:ascii="宋体"/>
          <w:b/>
        </w:rPr>
        <w:t xml:space="preserve">    </w:t>
      </w:r>
      <w:r>
        <w:rPr>
          <w:rFonts w:hint="eastAsia" w:ascii="宋体"/>
          <w:b/>
        </w:rPr>
        <w:t>（特种作业：高空作业、电工作业、焊接与热切割作业、制冷与空调作业等）</w:t>
      </w:r>
      <w:r>
        <w:rPr>
          <w:rFonts w:hint="eastAsia" w:ascii="宋体"/>
          <w:b/>
        </w:rPr>
        <w:cr/>
      </w:r>
      <w:r>
        <w:rPr>
          <w:rFonts w:hint="eastAsia" w:ascii="宋体"/>
          <w:b/>
          <w:u w:val="single"/>
        </w:rPr>
        <w:t>    </w:t>
      </w:r>
      <w:r>
        <w:rPr>
          <w:rFonts w:hint="eastAsia" w:ascii="宋体"/>
          <w:b/>
          <w:u w:val="single"/>
          <w:lang w:val="en-US" w:eastAsia="zh-CN"/>
        </w:rPr>
        <w:t>北京三汇能环科技发展有限公司</w:t>
      </w:r>
      <w:r>
        <w:rPr>
          <w:rFonts w:ascii="宋体"/>
          <w:b/>
          <w:u w:val="single"/>
        </w:rPr>
        <w:t xml:space="preserve">  </w:t>
      </w:r>
      <w:r>
        <w:rPr>
          <w:rFonts w:hint="eastAsia" w:ascii="宋体"/>
          <w:b/>
        </w:rPr>
        <w:t>：</w:t>
      </w:r>
      <w:r>
        <w:rPr>
          <w:rFonts w:hint="eastAsia" w:ascii="宋体"/>
          <w:b/>
        </w:rPr>
        <w:cr/>
      </w:r>
      <w:r>
        <w:rPr>
          <w:rFonts w:ascii="宋体"/>
          <w:b/>
        </w:rPr>
        <w:t xml:space="preserve">    </w:t>
      </w:r>
      <w:r>
        <w:rPr>
          <w:rFonts w:ascii="宋体"/>
          <w:b/>
          <w:sz w:val="28"/>
          <w:szCs w:val="28"/>
        </w:rPr>
        <w:t xml:space="preserve">    </w:t>
      </w:r>
      <w:r>
        <w:rPr>
          <w:rFonts w:hint="eastAsia" w:ascii="宋体"/>
          <w:sz w:val="28"/>
          <w:szCs w:val="28"/>
        </w:rPr>
        <w:t>本人/本公司承揽 </w:t>
      </w:r>
      <w:r>
        <w:rPr>
          <w:rFonts w:hint="eastAsia" w:ascii="宋体"/>
          <w:sz w:val="28"/>
          <w:szCs w:val="28"/>
          <w:u w:val="single"/>
        </w:rPr>
        <w:t>深圳万物商企物业服务有限公司北京分公司</w:t>
      </w:r>
      <w:r>
        <w:rPr>
          <w:rFonts w:hint="eastAsia" w:ascii="宋体"/>
          <w:sz w:val="28"/>
          <w:szCs w:val="28"/>
        </w:rPr>
        <w:t>之业务，将对该单元进行特种作业（</w:t>
      </w:r>
      <w:r>
        <w:rPr>
          <w:rFonts w:hint="eastAsia" w:ascii="宋体"/>
          <w:sz w:val="28"/>
          <w:szCs w:val="28"/>
        </w:rPr>
        <w:sym w:font="Wingdings 2" w:char="0052"/>
      </w:r>
      <w:r>
        <w:rPr>
          <w:rFonts w:hint="eastAsia"/>
          <w:sz w:val="28"/>
          <w:szCs w:val="28"/>
        </w:rPr>
        <w:t>高空作业</w:t>
      </w:r>
      <w:r>
        <w:rPr>
          <w:rFonts w:hint="eastAsia"/>
          <w:sz w:val="28"/>
          <w:szCs w:val="28"/>
        </w:rPr>
        <w:sym w:font="Wingdings 2" w:char="0052"/>
      </w:r>
      <w:r>
        <w:rPr>
          <w:rFonts w:hint="eastAsia"/>
          <w:sz w:val="28"/>
          <w:szCs w:val="28"/>
        </w:rPr>
        <w:t>电工作业</w:t>
      </w:r>
      <w:r>
        <w:rPr>
          <w:rFonts w:hint="eastAsia"/>
          <w:sz w:val="28"/>
          <w:szCs w:val="28"/>
        </w:rPr>
        <w:sym w:font="Wingdings 2" w:char="0052"/>
      </w:r>
      <w:r>
        <w:rPr>
          <w:rFonts w:hint="eastAsia"/>
          <w:sz w:val="28"/>
          <w:szCs w:val="28"/>
        </w:rPr>
        <w:t>焊接与热切割作业</w:t>
      </w:r>
      <w:r>
        <w:rPr>
          <w:rFonts w:hint="eastAsia"/>
          <w:sz w:val="28"/>
          <w:szCs w:val="28"/>
        </w:rPr>
        <w:sym w:font="Wingdings 2" w:char="0052"/>
      </w:r>
      <w:r>
        <w:rPr>
          <w:rFonts w:hint="eastAsia"/>
          <w:sz w:val="28"/>
          <w:szCs w:val="28"/>
        </w:rPr>
        <w:t>制冷与空调作业</w:t>
      </w:r>
      <w:r>
        <w:rPr>
          <w:rFonts w:hint="eastAsia"/>
          <w:sz w:val="28"/>
          <w:szCs w:val="28"/>
        </w:rPr>
        <w:sym w:font="Wingdings 2" w:char="0052"/>
      </w:r>
      <w:r>
        <w:rPr>
          <w:rFonts w:hint="eastAsia"/>
          <w:sz w:val="28"/>
          <w:szCs w:val="28"/>
        </w:rPr>
        <w:t>其他       ），为保障施工安全，明确安全责任，我方就施工安全责任郑重承诺如下：</w:t>
      </w:r>
      <w:r>
        <w:rPr>
          <w:rFonts w:hint="eastAsia"/>
          <w:sz w:val="28"/>
          <w:szCs w:val="28"/>
        </w:rPr>
        <w:cr/>
      </w:r>
      <w:r>
        <w:rPr>
          <w:rFonts w:hint="eastAsia" w:ascii="宋体"/>
          <w:sz w:val="28"/>
          <w:szCs w:val="28"/>
        </w:rPr>
        <w:t>1、严格按照《中华人民共和国安全生产法》、《消防法》等相关规定，建立严格有效的施工安全管理制度和安全操作规程。</w:t>
      </w:r>
      <w:r>
        <w:rPr>
          <w:rFonts w:hint="eastAsia" w:ascii="宋体"/>
          <w:sz w:val="28"/>
          <w:szCs w:val="28"/>
        </w:rPr>
        <w:cr/>
      </w:r>
      <w:r>
        <w:rPr>
          <w:rFonts w:hint="eastAsia" w:ascii="宋体"/>
          <w:sz w:val="28"/>
          <w:szCs w:val="28"/>
        </w:rPr>
        <w:t>2、特种作业人员必须接受与本工种相适应的、专门的安全技术培训、经安全技术理论考核和实际操作技能考核合格，取得特种作业操作证后，方可上岗作业。未经培训，或培训考核不合格者，不得上岗作业。</w:t>
      </w:r>
      <w:r>
        <w:rPr>
          <w:rFonts w:hint="eastAsia" w:ascii="宋体"/>
          <w:sz w:val="28"/>
          <w:szCs w:val="28"/>
        </w:rPr>
        <w:cr/>
      </w:r>
      <w:r>
        <w:rPr>
          <w:rFonts w:hint="eastAsia" w:ascii="宋体"/>
          <w:sz w:val="28"/>
          <w:szCs w:val="28"/>
        </w:rPr>
        <w:t>3、特种作业人员的操作证，应人、证相符，严禁冒名顶替，严禁使用假证。作业人员使用虚假证件导致的损害和事故，作业人员自行承担全部法律责任。</w:t>
      </w:r>
      <w:r>
        <w:rPr>
          <w:rFonts w:hint="eastAsia" w:ascii="宋体"/>
          <w:sz w:val="28"/>
          <w:szCs w:val="28"/>
        </w:rPr>
        <w:cr/>
      </w:r>
      <w:r>
        <w:rPr>
          <w:rFonts w:hint="eastAsia" w:ascii="宋体"/>
          <w:sz w:val="28"/>
          <w:szCs w:val="28"/>
        </w:rPr>
        <w:t>4、高空作业人员必须系安全带，拴安全钩，戴安全帽，穿胶鞋，必须特别注意可能对安全绳、安全钩等造成磨损、阻碍的构筑物、墙角、窗沿等部位。</w:t>
      </w:r>
      <w:r>
        <w:rPr>
          <w:rFonts w:ascii="宋体"/>
          <w:sz w:val="28"/>
          <w:szCs w:val="28"/>
        </w:rPr>
        <w:cr/>
      </w:r>
      <w:r>
        <w:rPr>
          <w:rFonts w:hint="eastAsia" w:ascii="宋体"/>
          <w:sz w:val="28"/>
          <w:szCs w:val="28"/>
        </w:rPr>
        <w:t>5、施工现场严格遵守安全操作规程，明火作业现场配置足够的灭火设备和器材，施工现场及相关区域严禁吸烟。</w:t>
      </w:r>
      <w:r>
        <w:rPr>
          <w:rFonts w:hint="eastAsia" w:ascii="宋体"/>
          <w:sz w:val="28"/>
          <w:szCs w:val="28"/>
        </w:rPr>
        <w:cr/>
      </w:r>
      <w:r>
        <w:rPr>
          <w:rFonts w:hint="eastAsia" w:ascii="宋体"/>
          <w:sz w:val="28"/>
          <w:szCs w:val="28"/>
        </w:rPr>
        <w:t>6、工作前必须认真检查机械设备、用具、绳子、坐板、安全带有无损坏，确保机械性能良好及各种用具无异常现象方能上岗操作。</w:t>
      </w:r>
      <w:r>
        <w:rPr>
          <w:rFonts w:hint="eastAsia" w:ascii="宋体"/>
          <w:sz w:val="28"/>
          <w:szCs w:val="28"/>
        </w:rPr>
        <w:cr/>
      </w:r>
      <w:r>
        <w:rPr>
          <w:rFonts w:hint="eastAsia" w:ascii="宋体"/>
          <w:sz w:val="28"/>
          <w:szCs w:val="28"/>
        </w:rPr>
        <w:t>7、施工作业场所有坠落可能的物件，应一律先行撤除或加以固定，特种作业中所用的物料，均应堆放平稳，不妨碍通行和装卸。工具应随手放入工具袋，作业中的走道、通道板和登高用具，应随时清扫干净。拆卸下的物件及余料和废料均应及时清理运走，不得任意乱置或向下丢弃，传递物件禁止抛掷。</w:t>
      </w:r>
      <w:r>
        <w:rPr>
          <w:rFonts w:hint="eastAsia" w:ascii="宋体"/>
          <w:sz w:val="28"/>
          <w:szCs w:val="28"/>
        </w:rPr>
        <w:cr/>
      </w:r>
      <w:r>
        <w:rPr>
          <w:rFonts w:hint="eastAsia" w:ascii="宋体"/>
          <w:sz w:val="28"/>
          <w:szCs w:val="28"/>
        </w:rPr>
        <w:t>8、施工需动用明火（如电、气焊、喷枪、切割机等）或使用易燃易爆材料，保证安全后方可施工。完工后，严格清理现场，确认不存在任何安全隐患后，施工人员方可撤离现场。</w:t>
      </w:r>
      <w:r>
        <w:rPr>
          <w:rFonts w:hint="eastAsia" w:ascii="宋体"/>
          <w:sz w:val="28"/>
          <w:szCs w:val="28"/>
        </w:rPr>
        <w:cr/>
      </w:r>
      <w:r>
        <w:rPr>
          <w:rFonts w:hint="eastAsia" w:ascii="宋体"/>
          <w:sz w:val="28"/>
          <w:szCs w:val="28"/>
        </w:rPr>
        <w:t>9、作业人员在施工前应对在特种作业中可能产生的危险及分险进行安全评估和检查，杜绝安全隐患，作业人员在施工过程中所产生的一切不利后果负全部责任。</w:t>
      </w:r>
      <w:r>
        <w:rPr>
          <w:rFonts w:hint="eastAsia" w:ascii="宋体"/>
          <w:sz w:val="28"/>
          <w:szCs w:val="28"/>
        </w:rPr>
        <w:cr/>
      </w:r>
      <w:r>
        <w:rPr>
          <w:rFonts w:hint="eastAsia" w:ascii="宋体"/>
          <w:sz w:val="28"/>
          <w:szCs w:val="28"/>
        </w:rPr>
        <w:t>10、如由于承揽的项目或提供的产品/服务/项目/设备/设施等因质量原因或违反安全规定和行业安全标准所造成的所有事故承担全部法律责任，并承担由此造成的一切经济损失；如对第三人造成损害或者造成自身损害的，自行承担全部法律责任。</w:t>
      </w:r>
      <w:r>
        <w:rPr>
          <w:rFonts w:hint="eastAsia" w:ascii="宋体"/>
          <w:sz w:val="28"/>
          <w:szCs w:val="28"/>
        </w:rPr>
        <w:cr/>
      </w:r>
      <w:r>
        <w:rPr>
          <w:rFonts w:hint="eastAsia" w:ascii="宋体"/>
          <w:sz w:val="28"/>
          <w:szCs w:val="28"/>
        </w:rPr>
        <w:t>11、本安全责任承诺书自盖章或签字之日起生效。</w:t>
      </w:r>
      <w:r>
        <w:rPr>
          <w:rFonts w:ascii="宋体"/>
          <w:sz w:val="28"/>
          <w:szCs w:val="28"/>
        </w:rPr>
        <w:cr/>
      </w:r>
      <w:r>
        <w:rPr>
          <w:rFonts w:hint="eastAsia" w:ascii="宋体"/>
          <w:sz w:val="28"/>
          <w:szCs w:val="28"/>
        </w:rPr>
        <w:t>承诺人/公司签名盖章：   </w:t>
      </w:r>
      <w:r>
        <w:rPr>
          <w:rFonts w:hint="eastAsia" w:ascii="宋体"/>
          <w:b/>
          <w:sz w:val="28"/>
          <w:szCs w:val="28"/>
        </w:rPr>
        <w:t xml:space="preserve">                 </w:t>
      </w:r>
      <w:r>
        <w:rPr>
          <w:rFonts w:hint="eastAsia" w:ascii="宋体"/>
          <w:b/>
          <w:sz w:val="28"/>
          <w:szCs w:val="28"/>
        </w:rPr>
        <w:cr/>
      </w:r>
      <w:r>
        <w:rPr>
          <w:rFonts w:hint="eastAsia" w:ascii="宋体"/>
          <w:b/>
          <w:sz w:val="28"/>
          <w:szCs w:val="28"/>
        </w:rPr>
        <w:cr/>
      </w:r>
      <w:r>
        <w:rPr>
          <w:rFonts w:hint="eastAsia" w:ascii="宋体"/>
          <w:b/>
          <w:sz w:val="28"/>
          <w:szCs w:val="28"/>
        </w:rPr>
        <w:cr/>
      </w:r>
      <w:r>
        <w:rPr>
          <w:rFonts w:hint="eastAsia" w:ascii="宋体"/>
          <w:b/>
          <w:sz w:val="28"/>
          <w:szCs w:val="28"/>
        </w:rPr>
        <w:t>          </w:t>
      </w:r>
      <w:r>
        <w:rPr>
          <w:rFonts w:hint="eastAsia" w:ascii="宋体"/>
          <w:b/>
          <w:sz w:val="28"/>
          <w:szCs w:val="28"/>
          <w:lang w:val="en-US" w:eastAsia="zh-CN"/>
        </w:rPr>
        <w:t>2022</w:t>
      </w:r>
      <w:r>
        <w:rPr>
          <w:rFonts w:hint="eastAsia" w:ascii="宋体"/>
          <w:b/>
          <w:sz w:val="28"/>
          <w:szCs w:val="28"/>
        </w:rPr>
        <w:t xml:space="preserve"> 年  </w:t>
      </w:r>
      <w:r>
        <w:rPr>
          <w:rFonts w:hint="eastAsia" w:ascii="宋体"/>
          <w:b/>
          <w:sz w:val="28"/>
          <w:szCs w:val="28"/>
          <w:lang w:val="en-US" w:eastAsia="zh-CN"/>
        </w:rPr>
        <w:t>6</w:t>
      </w:r>
      <w:r>
        <w:rPr>
          <w:rFonts w:hint="eastAsia" w:ascii="宋体"/>
          <w:b/>
          <w:sz w:val="28"/>
          <w:szCs w:val="28"/>
        </w:rPr>
        <w:t>  月 </w:t>
      </w:r>
      <w:r>
        <w:rPr>
          <w:rFonts w:hint="eastAsia" w:ascii="宋体"/>
          <w:b/>
          <w:sz w:val="28"/>
          <w:szCs w:val="28"/>
          <w:lang w:val="en-US" w:eastAsia="zh-CN"/>
        </w:rPr>
        <w:t>29</w:t>
      </w:r>
      <w:r>
        <w:rPr>
          <w:rFonts w:hint="eastAsia" w:ascii="宋体"/>
          <w:b/>
          <w:sz w:val="28"/>
          <w:szCs w:val="28"/>
        </w:rPr>
        <w:t>  日</w:t>
      </w:r>
      <w:r>
        <w:rPr>
          <w:rFonts w:ascii="宋体"/>
          <w:b/>
          <w:sz w:val="28"/>
          <w:szCs w:val="28"/>
        </w:rPr>
        <w:cr/>
      </w:r>
    </w:p>
    <w:p>
      <w:pPr>
        <w:spacing w:line="360" w:lineRule="auto"/>
        <w:rPr>
          <w:rFonts w:ascii="宋体"/>
          <w:b/>
        </w:rPr>
      </w:pPr>
    </w:p>
    <w:p>
      <w:pPr>
        <w:spacing w:line="360" w:lineRule="auto"/>
        <w:rPr>
          <w:rFonts w:hint="eastAsia" w:ascii="宋体"/>
          <w:b/>
        </w:rPr>
      </w:pPr>
    </w:p>
    <w:p>
      <w:pPr>
        <w:pStyle w:val="32"/>
        <w:spacing w:line="360" w:lineRule="auto"/>
        <w:jc w:val="center"/>
        <w:rPr>
          <w:rFonts w:ascii="宋体" w:hAnsi="宋体"/>
          <w:b/>
          <w:color w:val="000000"/>
          <w:sz w:val="40"/>
          <w:szCs w:val="28"/>
          <w:lang w:eastAsia="zh-CN"/>
        </w:rPr>
      </w:pPr>
      <w:r>
        <w:rPr>
          <w:rFonts w:hint="eastAsia" w:ascii="宋体" w:hAnsi="宋体"/>
          <w:b/>
          <w:color w:val="000000"/>
          <w:sz w:val="40"/>
          <w:szCs w:val="28"/>
          <w:lang w:eastAsia="zh-CN"/>
        </w:rPr>
        <w:t>万物梁行E</w:t>
      </w:r>
      <w:r>
        <w:rPr>
          <w:rFonts w:ascii="宋体" w:hAnsi="宋体"/>
          <w:b/>
          <w:color w:val="000000"/>
          <w:sz w:val="40"/>
          <w:szCs w:val="28"/>
          <w:lang w:eastAsia="zh-CN"/>
        </w:rPr>
        <w:t>HS</w:t>
      </w:r>
      <w:r>
        <w:rPr>
          <w:rFonts w:hint="eastAsia" w:ascii="宋体" w:hAnsi="宋体"/>
          <w:b/>
          <w:color w:val="000000"/>
          <w:sz w:val="40"/>
          <w:szCs w:val="28"/>
          <w:lang w:eastAsia="zh-CN"/>
        </w:rPr>
        <w:t>要求告知书</w:t>
      </w:r>
    </w:p>
    <w:p>
      <w:pPr>
        <w:pStyle w:val="14"/>
        <w:ind w:left="420"/>
        <w:rPr>
          <w:rFonts w:ascii="Arial" w:hAnsi="Arial"/>
          <w:b w:val="0"/>
          <w:color w:val="0070C0"/>
          <w:sz w:val="21"/>
          <w:szCs w:val="21"/>
        </w:rPr>
      </w:pPr>
      <w:r>
        <w:rPr>
          <w:rFonts w:hint="eastAsia" w:ascii="宋体" w:hAnsi="宋体"/>
          <w:b w:val="0"/>
          <w:sz w:val="21"/>
          <w:szCs w:val="21"/>
        </w:rPr>
        <w:t>编号：</w:t>
      </w:r>
      <w:r>
        <w:rPr>
          <w:rFonts w:ascii="宋体" w:hAnsi="宋体"/>
          <w:b w:val="0"/>
          <w:bCs w:val="0"/>
          <w:sz w:val="21"/>
          <w:szCs w:val="21"/>
        </w:rPr>
        <w:t xml:space="preserve"> VCW-OP-EHS-103-A2</w:t>
      </w:r>
      <w:r>
        <w:rPr>
          <w:rFonts w:hint="eastAsia" w:ascii="宋体" w:hAnsi="宋体"/>
          <w:b w:val="0"/>
          <w:sz w:val="21"/>
          <w:szCs w:val="21"/>
        </w:rPr>
        <w:t xml:space="preserve">         版本：A/0           生效日期：2020年</w:t>
      </w:r>
      <w:r>
        <w:rPr>
          <w:rFonts w:ascii="宋体" w:hAnsi="宋体"/>
          <w:b w:val="0"/>
          <w:sz w:val="21"/>
          <w:szCs w:val="21"/>
        </w:rPr>
        <w:t>6</w:t>
      </w:r>
      <w:r>
        <w:rPr>
          <w:rFonts w:hint="eastAsia" w:ascii="宋体" w:hAnsi="宋体"/>
          <w:b w:val="0"/>
          <w:sz w:val="21"/>
          <w:szCs w:val="21"/>
        </w:rPr>
        <w:t>月</w:t>
      </w:r>
      <w:r>
        <w:rPr>
          <w:rFonts w:ascii="宋体" w:hAnsi="宋体"/>
          <w:b w:val="0"/>
          <w:sz w:val="21"/>
          <w:szCs w:val="21"/>
        </w:rPr>
        <w:t>1</w:t>
      </w:r>
      <w:r>
        <w:rPr>
          <w:rFonts w:hint="eastAsia" w:ascii="宋体" w:hAnsi="宋体"/>
          <w:b w:val="0"/>
          <w:sz w:val="21"/>
          <w:szCs w:val="21"/>
        </w:rPr>
        <w:t>日</w:t>
      </w:r>
    </w:p>
    <w:p>
      <w:pPr>
        <w:pStyle w:val="32"/>
        <w:spacing w:line="360" w:lineRule="auto"/>
        <w:jc w:val="center"/>
        <w:rPr>
          <w:rFonts w:ascii="Times New Roman" w:hAnsi="Times New Roman"/>
          <w:color w:val="000000"/>
          <w:kern w:val="2"/>
          <w:sz w:val="21"/>
          <w:szCs w:val="24"/>
          <w:lang w:val="en-US" w:eastAsia="zh-CN"/>
        </w:rPr>
      </w:pPr>
    </w:p>
    <w:p>
      <w:pPr>
        <w:pStyle w:val="32"/>
        <w:spacing w:line="360" w:lineRule="auto"/>
        <w:ind w:firstLine="420" w:firstLineChars="200"/>
        <w:jc w:val="both"/>
        <w:rPr>
          <w:rFonts w:ascii="Times New Roman" w:hAnsi="Times New Roman"/>
          <w:kern w:val="2"/>
          <w:sz w:val="21"/>
          <w:szCs w:val="24"/>
          <w:lang w:val="en-US" w:eastAsia="zh-CN"/>
        </w:rPr>
      </w:pPr>
      <w:r>
        <w:rPr>
          <w:rFonts w:hint="eastAsia" w:ascii="Times New Roman" w:hAnsi="Times New Roman"/>
          <w:kern w:val="2"/>
          <w:sz w:val="21"/>
          <w:szCs w:val="24"/>
          <w:lang w:val="en-US" w:eastAsia="zh-CN"/>
        </w:rPr>
        <w:t>此附件系确立甲方管理项目供方应当具备的</w:t>
      </w:r>
      <w:r>
        <w:rPr>
          <w:rFonts w:ascii="Times New Roman" w:hAnsi="Times New Roman"/>
          <w:kern w:val="2"/>
          <w:sz w:val="21"/>
          <w:szCs w:val="24"/>
          <w:lang w:val="en-US" w:eastAsia="zh-CN"/>
        </w:rPr>
        <w:t>EHS要求。供方在项目上必须依法</w:t>
      </w:r>
      <w:r>
        <w:rPr>
          <w:rFonts w:hint="eastAsia" w:ascii="Times New Roman" w:hAnsi="Times New Roman"/>
          <w:kern w:val="2"/>
          <w:sz w:val="21"/>
          <w:szCs w:val="24"/>
          <w:lang w:val="en-US" w:eastAsia="zh-CN"/>
        </w:rPr>
        <w:t>依约为员工及他人提供一个安全的工作环境。</w:t>
      </w:r>
    </w:p>
    <w:p>
      <w:pPr>
        <w:spacing w:after="120" w:line="360" w:lineRule="auto"/>
        <w:ind w:left="-9"/>
        <w:rPr>
          <w:b/>
          <w:sz w:val="28"/>
        </w:rPr>
      </w:pPr>
      <w:r>
        <w:rPr>
          <w:rFonts w:hint="eastAsia"/>
          <w:b/>
          <w:sz w:val="28"/>
        </w:rPr>
        <w:t>一</w:t>
      </w:r>
      <w:r>
        <w:rPr>
          <w:b/>
          <w:sz w:val="28"/>
        </w:rPr>
        <w:t>、一般EHS要求</w:t>
      </w:r>
    </w:p>
    <w:p>
      <w:pPr>
        <w:pStyle w:val="32"/>
        <w:spacing w:line="360" w:lineRule="auto"/>
        <w:ind w:left="360" w:firstLine="420" w:firstLineChars="200"/>
        <w:jc w:val="both"/>
        <w:rPr>
          <w:rFonts w:ascii="Times New Roman" w:hAnsi="Times New Roman"/>
          <w:kern w:val="2"/>
          <w:sz w:val="21"/>
          <w:szCs w:val="24"/>
          <w:lang w:val="en-US" w:eastAsia="zh-CN"/>
        </w:rPr>
      </w:pPr>
      <w:r>
        <w:rPr>
          <w:rFonts w:hint="eastAsia" w:ascii="Times New Roman" w:hAnsi="Times New Roman"/>
          <w:kern w:val="2"/>
          <w:sz w:val="21"/>
          <w:szCs w:val="24"/>
          <w:lang w:val="en-US" w:eastAsia="zh-CN"/>
        </w:rPr>
        <w:t>作为甲方的供方，在整个承包过程中必须严格遵守国家和地方的有关法律法规、相关行业安全规范和甲方安全作业程序。任何违反国家、地方的法律法规、相关行业安全规定和甲方安全作业程序的行为将依据法律的规定或合同的约定受到相应的处罚。</w:t>
      </w:r>
    </w:p>
    <w:p>
      <w:pPr>
        <w:pStyle w:val="32"/>
        <w:spacing w:line="360" w:lineRule="auto"/>
        <w:ind w:firstLine="420" w:firstLineChars="200"/>
        <w:jc w:val="both"/>
        <w:rPr>
          <w:rFonts w:ascii="Times New Roman" w:hAnsi="Times New Roman"/>
          <w:kern w:val="2"/>
          <w:sz w:val="21"/>
          <w:szCs w:val="24"/>
          <w:lang w:val="en-US" w:eastAsia="zh-CN"/>
        </w:rPr>
      </w:pPr>
      <w:r>
        <w:rPr>
          <w:rFonts w:ascii="Times New Roman" w:hAnsi="Times New Roman"/>
          <w:kern w:val="2"/>
          <w:sz w:val="21"/>
          <w:szCs w:val="24"/>
          <w:lang w:val="en-US" w:eastAsia="zh-CN"/>
        </w:rPr>
        <w:t>EHS计划作为</w:t>
      </w:r>
      <w:r>
        <w:rPr>
          <w:rFonts w:hint="eastAsia" w:ascii="Times New Roman" w:hAnsi="Times New Roman"/>
          <w:kern w:val="2"/>
          <w:sz w:val="21"/>
          <w:szCs w:val="24"/>
          <w:lang w:val="en-US" w:eastAsia="zh-CN"/>
        </w:rPr>
        <w:t>本合同的一部分，包括但不仅限于下列内容：</w:t>
      </w:r>
    </w:p>
    <w:p>
      <w:pPr>
        <w:pStyle w:val="32"/>
        <w:tabs>
          <w:tab w:val="left" w:pos="720"/>
        </w:tabs>
        <w:spacing w:line="360" w:lineRule="auto"/>
        <w:ind w:firstLine="360"/>
        <w:jc w:val="both"/>
        <w:rPr>
          <w:rFonts w:ascii="Times New Roman" w:hAnsi="Times New Roman"/>
          <w:kern w:val="2"/>
          <w:sz w:val="21"/>
          <w:szCs w:val="24"/>
          <w:lang w:val="en-US" w:eastAsia="zh-CN"/>
        </w:rPr>
      </w:pPr>
      <w:r>
        <w:rPr>
          <w:rFonts w:ascii="Times New Roman" w:hAnsi="Times New Roman"/>
          <w:kern w:val="2"/>
          <w:sz w:val="21"/>
          <w:szCs w:val="24"/>
          <w:lang w:val="en-US" w:eastAsia="zh-CN"/>
        </w:rPr>
        <w:t>a)</w:t>
      </w:r>
      <w:r>
        <w:rPr>
          <w:rFonts w:ascii="Times New Roman" w:hAnsi="Times New Roman"/>
          <w:kern w:val="2"/>
          <w:sz w:val="21"/>
          <w:szCs w:val="24"/>
          <w:lang w:val="en-US" w:eastAsia="zh-CN"/>
        </w:rPr>
        <w:tab/>
      </w:r>
      <w:r>
        <w:rPr>
          <w:rFonts w:hint="eastAsia" w:ascii="Times New Roman" w:hAnsi="Times New Roman"/>
          <w:kern w:val="2"/>
          <w:sz w:val="21"/>
          <w:szCs w:val="24"/>
          <w:lang w:val="en-US" w:eastAsia="zh-CN"/>
        </w:rPr>
        <w:t>项目组人员的职责及安全组织机构图；</w:t>
      </w:r>
    </w:p>
    <w:p>
      <w:pPr>
        <w:pStyle w:val="32"/>
        <w:tabs>
          <w:tab w:val="left" w:pos="720"/>
        </w:tabs>
        <w:spacing w:line="360" w:lineRule="auto"/>
        <w:ind w:firstLine="360"/>
        <w:jc w:val="both"/>
        <w:rPr>
          <w:rFonts w:ascii="Times New Roman" w:hAnsi="Times New Roman"/>
          <w:kern w:val="2"/>
          <w:sz w:val="21"/>
          <w:szCs w:val="24"/>
          <w:lang w:val="en-US" w:eastAsia="zh-CN"/>
        </w:rPr>
      </w:pPr>
      <w:r>
        <w:rPr>
          <w:rFonts w:ascii="Times New Roman" w:hAnsi="Times New Roman"/>
          <w:kern w:val="2"/>
          <w:sz w:val="21"/>
          <w:szCs w:val="24"/>
          <w:lang w:val="en-US" w:eastAsia="zh-CN"/>
        </w:rPr>
        <w:t>b)</w:t>
      </w:r>
      <w:r>
        <w:rPr>
          <w:rFonts w:ascii="Times New Roman" w:hAnsi="Times New Roman"/>
          <w:kern w:val="2"/>
          <w:sz w:val="21"/>
          <w:szCs w:val="24"/>
          <w:lang w:val="en-US" w:eastAsia="zh-CN"/>
        </w:rPr>
        <w:tab/>
      </w:r>
      <w:r>
        <w:rPr>
          <w:rFonts w:hint="eastAsia" w:ascii="Times New Roman" w:hAnsi="Times New Roman"/>
          <w:kern w:val="2"/>
          <w:sz w:val="21"/>
          <w:szCs w:val="24"/>
          <w:lang w:val="en-US" w:eastAsia="zh-CN"/>
        </w:rPr>
        <w:t>供方需建立一个明确的项目安全目标；</w:t>
      </w:r>
    </w:p>
    <w:p>
      <w:pPr>
        <w:pStyle w:val="32"/>
        <w:tabs>
          <w:tab w:val="left" w:pos="720"/>
        </w:tabs>
        <w:spacing w:line="360" w:lineRule="auto"/>
        <w:ind w:firstLine="360"/>
        <w:jc w:val="both"/>
        <w:rPr>
          <w:rFonts w:ascii="Times New Roman" w:hAnsi="Times New Roman"/>
          <w:kern w:val="2"/>
          <w:sz w:val="21"/>
          <w:szCs w:val="24"/>
          <w:lang w:val="en-US" w:eastAsia="zh-CN"/>
        </w:rPr>
      </w:pPr>
      <w:r>
        <w:rPr>
          <w:rFonts w:ascii="Times New Roman" w:hAnsi="Times New Roman"/>
          <w:kern w:val="2"/>
          <w:sz w:val="21"/>
          <w:szCs w:val="24"/>
          <w:lang w:val="en-US" w:eastAsia="zh-CN"/>
        </w:rPr>
        <w:t>c)</w:t>
      </w:r>
      <w:r>
        <w:rPr>
          <w:rFonts w:ascii="Times New Roman" w:hAnsi="Times New Roman"/>
          <w:kern w:val="2"/>
          <w:sz w:val="21"/>
          <w:szCs w:val="24"/>
          <w:lang w:val="en-US" w:eastAsia="zh-CN"/>
        </w:rPr>
        <w:tab/>
      </w:r>
      <w:r>
        <w:rPr>
          <w:rFonts w:hint="eastAsia" w:ascii="Times New Roman" w:hAnsi="Times New Roman"/>
          <w:kern w:val="2"/>
          <w:sz w:val="21"/>
          <w:szCs w:val="24"/>
          <w:lang w:val="en-US" w:eastAsia="zh-CN"/>
        </w:rPr>
        <w:t>乙方必须确保</w:t>
      </w:r>
      <w:r>
        <w:rPr>
          <w:rFonts w:ascii="Times New Roman" w:hAnsi="Times New Roman"/>
          <w:kern w:val="2"/>
          <w:sz w:val="21"/>
          <w:szCs w:val="24"/>
          <w:lang w:val="en-US" w:eastAsia="zh-CN"/>
        </w:rPr>
        <w:t>所有项目施工人员</w:t>
      </w:r>
      <w:r>
        <w:rPr>
          <w:rFonts w:hint="eastAsia" w:ascii="Times New Roman" w:hAnsi="Times New Roman"/>
          <w:kern w:val="2"/>
          <w:sz w:val="21"/>
          <w:szCs w:val="24"/>
          <w:lang w:val="en-US" w:eastAsia="zh-CN"/>
        </w:rPr>
        <w:t>在作业前已经完成甲方所要求的安全培训；</w:t>
      </w:r>
    </w:p>
    <w:p>
      <w:pPr>
        <w:pStyle w:val="32"/>
        <w:tabs>
          <w:tab w:val="left" w:pos="720"/>
        </w:tabs>
        <w:spacing w:line="360" w:lineRule="auto"/>
        <w:ind w:firstLine="360"/>
        <w:jc w:val="both"/>
        <w:rPr>
          <w:rFonts w:ascii="Times New Roman" w:hAnsi="Times New Roman"/>
          <w:kern w:val="2"/>
          <w:sz w:val="21"/>
          <w:szCs w:val="24"/>
          <w:lang w:val="en-US" w:eastAsia="zh-CN"/>
        </w:rPr>
      </w:pPr>
      <w:r>
        <w:rPr>
          <w:rFonts w:ascii="Times New Roman" w:hAnsi="Times New Roman"/>
          <w:kern w:val="2"/>
          <w:sz w:val="21"/>
          <w:szCs w:val="24"/>
          <w:lang w:val="en-US" w:eastAsia="zh-CN"/>
        </w:rPr>
        <w:t>d)</w:t>
      </w:r>
      <w:r>
        <w:rPr>
          <w:rFonts w:ascii="Times New Roman" w:hAnsi="Times New Roman"/>
          <w:kern w:val="2"/>
          <w:sz w:val="21"/>
          <w:szCs w:val="24"/>
          <w:lang w:val="en-US" w:eastAsia="zh-CN"/>
        </w:rPr>
        <w:tab/>
      </w:r>
      <w:r>
        <w:rPr>
          <w:rFonts w:hint="eastAsia" w:ascii="Times New Roman" w:hAnsi="Times New Roman"/>
          <w:kern w:val="2"/>
          <w:sz w:val="21"/>
          <w:szCs w:val="24"/>
          <w:lang w:val="en-US" w:eastAsia="zh-CN"/>
        </w:rPr>
        <w:t>制定详细的安全施工方案，确保每项有安全隐患的工作有相应的控制措施；</w:t>
      </w:r>
    </w:p>
    <w:p>
      <w:pPr>
        <w:pStyle w:val="32"/>
        <w:tabs>
          <w:tab w:val="left" w:pos="720"/>
        </w:tabs>
        <w:spacing w:line="360" w:lineRule="auto"/>
        <w:ind w:firstLine="360"/>
        <w:jc w:val="both"/>
        <w:rPr>
          <w:rFonts w:ascii="Times New Roman" w:hAnsi="Times New Roman"/>
          <w:kern w:val="2"/>
          <w:sz w:val="21"/>
          <w:szCs w:val="24"/>
          <w:lang w:val="en-US" w:eastAsia="zh-CN"/>
        </w:rPr>
      </w:pPr>
      <w:r>
        <w:rPr>
          <w:rFonts w:ascii="Times New Roman" w:hAnsi="Times New Roman"/>
          <w:kern w:val="2"/>
          <w:sz w:val="21"/>
          <w:szCs w:val="24"/>
          <w:lang w:val="en-US" w:eastAsia="zh-CN"/>
        </w:rPr>
        <w:t>e)</w:t>
      </w:r>
      <w:r>
        <w:rPr>
          <w:rFonts w:ascii="Times New Roman" w:hAnsi="Times New Roman"/>
          <w:kern w:val="2"/>
          <w:sz w:val="21"/>
          <w:szCs w:val="24"/>
          <w:lang w:val="en-US" w:eastAsia="zh-CN"/>
        </w:rPr>
        <w:tab/>
      </w:r>
      <w:r>
        <w:rPr>
          <w:rFonts w:hint="eastAsia" w:ascii="Times New Roman" w:hAnsi="Times New Roman"/>
          <w:kern w:val="2"/>
          <w:sz w:val="21"/>
          <w:szCs w:val="24"/>
          <w:lang w:val="en-US" w:eastAsia="zh-CN"/>
        </w:rPr>
        <w:t>在安全施工方案中应包括检查及测试计划；</w:t>
      </w:r>
    </w:p>
    <w:p>
      <w:pPr>
        <w:pStyle w:val="32"/>
        <w:tabs>
          <w:tab w:val="left" w:pos="720"/>
        </w:tabs>
        <w:spacing w:line="360" w:lineRule="auto"/>
        <w:ind w:firstLine="360"/>
        <w:jc w:val="both"/>
        <w:rPr>
          <w:rFonts w:ascii="Times New Roman" w:hAnsi="Times New Roman"/>
          <w:kern w:val="2"/>
          <w:sz w:val="21"/>
          <w:szCs w:val="24"/>
          <w:lang w:val="en-US" w:eastAsia="zh-CN"/>
        </w:rPr>
      </w:pPr>
      <w:r>
        <w:rPr>
          <w:rFonts w:ascii="Times New Roman" w:hAnsi="Times New Roman"/>
          <w:kern w:val="2"/>
          <w:sz w:val="21"/>
          <w:szCs w:val="24"/>
          <w:lang w:val="en-US" w:eastAsia="zh-CN"/>
        </w:rPr>
        <w:t>f)</w:t>
      </w:r>
      <w:r>
        <w:rPr>
          <w:rFonts w:ascii="Times New Roman" w:hAnsi="Times New Roman"/>
          <w:kern w:val="2"/>
          <w:sz w:val="21"/>
          <w:szCs w:val="24"/>
          <w:lang w:val="en-US" w:eastAsia="zh-CN"/>
        </w:rPr>
        <w:tab/>
      </w:r>
      <w:r>
        <w:rPr>
          <w:rFonts w:hint="eastAsia" w:ascii="Times New Roman" w:hAnsi="Times New Roman"/>
          <w:kern w:val="2"/>
          <w:sz w:val="21"/>
          <w:szCs w:val="24"/>
          <w:lang w:val="en-US" w:eastAsia="zh-CN"/>
        </w:rPr>
        <w:t>提供废物管理计划，特别是危险废弃物的管理计划；</w:t>
      </w:r>
    </w:p>
    <w:p>
      <w:pPr>
        <w:pStyle w:val="32"/>
        <w:tabs>
          <w:tab w:val="left" w:pos="720"/>
        </w:tabs>
        <w:spacing w:line="360" w:lineRule="auto"/>
        <w:ind w:left="720" w:hanging="360"/>
        <w:jc w:val="both"/>
        <w:rPr>
          <w:rFonts w:ascii="Times New Roman" w:hAnsi="Times New Roman"/>
          <w:kern w:val="2"/>
          <w:sz w:val="21"/>
          <w:szCs w:val="24"/>
          <w:lang w:val="en-US" w:eastAsia="zh-CN"/>
        </w:rPr>
      </w:pPr>
      <w:r>
        <w:rPr>
          <w:rFonts w:ascii="Times New Roman" w:hAnsi="Times New Roman"/>
          <w:kern w:val="2"/>
          <w:sz w:val="21"/>
          <w:szCs w:val="24"/>
          <w:lang w:val="en-US" w:eastAsia="zh-CN"/>
        </w:rPr>
        <w:t>g)</w:t>
      </w:r>
      <w:r>
        <w:rPr>
          <w:rFonts w:ascii="Times New Roman" w:hAnsi="Times New Roman"/>
          <w:kern w:val="2"/>
          <w:sz w:val="21"/>
          <w:szCs w:val="24"/>
          <w:lang w:val="en-US" w:eastAsia="zh-CN"/>
        </w:rPr>
        <w:tab/>
      </w:r>
      <w:r>
        <w:rPr>
          <w:rFonts w:hint="eastAsia" w:ascii="Times New Roman" w:hAnsi="Times New Roman"/>
          <w:kern w:val="2"/>
          <w:sz w:val="21"/>
          <w:szCs w:val="24"/>
          <w:lang w:val="en-US" w:eastAsia="zh-CN"/>
        </w:rPr>
        <w:t>任何化学品在进入甲方或甲方的客户地点之前必须将物料安全数据表</w:t>
      </w:r>
      <w:r>
        <w:rPr>
          <w:rFonts w:ascii="Times New Roman" w:hAnsi="Times New Roman"/>
          <w:kern w:val="2"/>
          <w:sz w:val="21"/>
          <w:szCs w:val="24"/>
          <w:lang w:val="en-US" w:eastAsia="zh-CN"/>
        </w:rPr>
        <w:t xml:space="preserve">(MSDS) </w:t>
      </w:r>
      <w:r>
        <w:rPr>
          <w:rFonts w:hint="eastAsia" w:ascii="Times New Roman" w:hAnsi="Times New Roman"/>
          <w:kern w:val="2"/>
          <w:sz w:val="21"/>
          <w:szCs w:val="24"/>
          <w:lang w:val="en-US" w:eastAsia="zh-CN"/>
        </w:rPr>
        <w:t>呈交甲方</w:t>
      </w:r>
      <w:r>
        <w:rPr>
          <w:rFonts w:ascii="Times New Roman" w:hAnsi="Times New Roman"/>
          <w:kern w:val="2"/>
          <w:sz w:val="21"/>
          <w:szCs w:val="24"/>
          <w:lang w:val="en-US" w:eastAsia="zh-CN"/>
        </w:rPr>
        <w:t xml:space="preserve"> EHS管理部门审核及批准</w:t>
      </w:r>
      <w:r>
        <w:rPr>
          <w:rFonts w:hint="eastAsia" w:ascii="Times New Roman" w:hAnsi="Times New Roman"/>
          <w:kern w:val="2"/>
          <w:sz w:val="21"/>
          <w:szCs w:val="24"/>
          <w:lang w:val="en-US" w:eastAsia="zh-CN"/>
        </w:rPr>
        <w:t>；</w:t>
      </w:r>
    </w:p>
    <w:p>
      <w:pPr>
        <w:pStyle w:val="32"/>
        <w:tabs>
          <w:tab w:val="left" w:pos="720"/>
        </w:tabs>
        <w:spacing w:line="360" w:lineRule="auto"/>
        <w:ind w:firstLine="360"/>
        <w:jc w:val="both"/>
        <w:rPr>
          <w:rFonts w:ascii="Times New Roman" w:hAnsi="Times New Roman"/>
          <w:kern w:val="2"/>
          <w:sz w:val="21"/>
          <w:szCs w:val="24"/>
          <w:lang w:val="en-US" w:eastAsia="zh-CN"/>
        </w:rPr>
      </w:pPr>
      <w:r>
        <w:rPr>
          <w:rFonts w:ascii="Times New Roman" w:hAnsi="Times New Roman"/>
          <w:kern w:val="2"/>
          <w:sz w:val="21"/>
          <w:szCs w:val="24"/>
          <w:lang w:val="en-US" w:eastAsia="zh-CN"/>
        </w:rPr>
        <w:t>h)</w:t>
      </w:r>
      <w:r>
        <w:rPr>
          <w:rFonts w:ascii="Times New Roman" w:hAnsi="Times New Roman"/>
          <w:kern w:val="2"/>
          <w:sz w:val="21"/>
          <w:szCs w:val="24"/>
          <w:lang w:val="en-US" w:eastAsia="zh-CN"/>
        </w:rPr>
        <w:tab/>
      </w:r>
      <w:r>
        <w:rPr>
          <w:rFonts w:hint="eastAsia" w:ascii="Times New Roman" w:hAnsi="Times New Roman"/>
          <w:kern w:val="2"/>
          <w:sz w:val="21"/>
          <w:szCs w:val="24"/>
          <w:lang w:val="en-US" w:eastAsia="zh-CN"/>
        </w:rPr>
        <w:t>不允许使用石棉、多氯联苯和第一类破坏臭氧层的化学品；</w:t>
      </w:r>
    </w:p>
    <w:p>
      <w:pPr>
        <w:pStyle w:val="32"/>
        <w:tabs>
          <w:tab w:val="left" w:pos="720"/>
        </w:tabs>
        <w:spacing w:line="360" w:lineRule="auto"/>
        <w:ind w:firstLine="360"/>
        <w:jc w:val="both"/>
        <w:rPr>
          <w:rFonts w:ascii="Times New Roman" w:hAnsi="Times New Roman"/>
          <w:kern w:val="2"/>
          <w:sz w:val="21"/>
          <w:szCs w:val="24"/>
          <w:lang w:val="en-US" w:eastAsia="zh-CN"/>
        </w:rPr>
      </w:pPr>
      <w:r>
        <w:rPr>
          <w:rFonts w:ascii="Times New Roman" w:hAnsi="Times New Roman"/>
          <w:kern w:val="2"/>
          <w:sz w:val="21"/>
          <w:szCs w:val="24"/>
          <w:lang w:val="en-US" w:eastAsia="zh-CN"/>
        </w:rPr>
        <w:t>i)</w:t>
      </w:r>
      <w:r>
        <w:rPr>
          <w:rFonts w:ascii="Times New Roman" w:hAnsi="Times New Roman"/>
          <w:kern w:val="2"/>
          <w:sz w:val="21"/>
          <w:szCs w:val="24"/>
          <w:lang w:val="en-US" w:eastAsia="zh-CN"/>
        </w:rPr>
        <w:tab/>
      </w:r>
      <w:r>
        <w:rPr>
          <w:rFonts w:hint="eastAsia" w:ascii="Times New Roman" w:hAnsi="Times New Roman"/>
          <w:kern w:val="2"/>
          <w:sz w:val="21"/>
          <w:szCs w:val="24"/>
          <w:lang w:val="en-US" w:eastAsia="zh-CN"/>
        </w:rPr>
        <w:t>根据需要提供相应的环保计划（例如沉降控制、防尘及防噪音等）</w:t>
      </w:r>
      <w:r>
        <w:rPr>
          <w:rFonts w:ascii="Times New Roman" w:hAnsi="Times New Roman"/>
          <w:kern w:val="2"/>
          <w:sz w:val="21"/>
          <w:szCs w:val="24"/>
          <w:lang w:val="en-US" w:eastAsia="zh-CN"/>
        </w:rPr>
        <w:t>;</w:t>
      </w:r>
    </w:p>
    <w:p>
      <w:pPr>
        <w:pStyle w:val="32"/>
        <w:tabs>
          <w:tab w:val="left" w:pos="720"/>
        </w:tabs>
        <w:spacing w:line="360" w:lineRule="auto"/>
        <w:ind w:firstLine="360"/>
        <w:jc w:val="both"/>
        <w:rPr>
          <w:rFonts w:ascii="Times New Roman" w:hAnsi="Times New Roman"/>
          <w:kern w:val="2"/>
          <w:sz w:val="21"/>
          <w:szCs w:val="24"/>
          <w:lang w:val="en-US" w:eastAsia="zh-CN"/>
        </w:rPr>
      </w:pPr>
      <w:r>
        <w:rPr>
          <w:rFonts w:ascii="Times New Roman" w:hAnsi="Times New Roman"/>
          <w:kern w:val="2"/>
          <w:sz w:val="21"/>
          <w:szCs w:val="24"/>
          <w:lang w:val="en-US" w:eastAsia="zh-CN"/>
        </w:rPr>
        <w:t>j)</w:t>
      </w:r>
      <w:r>
        <w:rPr>
          <w:rFonts w:ascii="Times New Roman" w:hAnsi="Times New Roman"/>
          <w:kern w:val="2"/>
          <w:sz w:val="21"/>
          <w:szCs w:val="24"/>
          <w:lang w:val="en-US" w:eastAsia="zh-CN"/>
        </w:rPr>
        <w:tab/>
      </w:r>
      <w:r>
        <w:rPr>
          <w:rFonts w:hint="eastAsia" w:ascii="Times New Roman" w:hAnsi="Times New Roman"/>
          <w:kern w:val="2"/>
          <w:sz w:val="21"/>
          <w:szCs w:val="24"/>
          <w:lang w:val="en-US" w:eastAsia="zh-CN"/>
        </w:rPr>
        <w:t>除指定的地方外，不允许在甲方其他任何地方吸烟</w:t>
      </w:r>
      <w:r>
        <w:rPr>
          <w:rFonts w:ascii="Times New Roman" w:hAnsi="Times New Roman"/>
          <w:kern w:val="2"/>
          <w:sz w:val="21"/>
          <w:szCs w:val="24"/>
          <w:lang w:val="en-US" w:eastAsia="zh-CN"/>
        </w:rPr>
        <w:t>;</w:t>
      </w:r>
    </w:p>
    <w:p>
      <w:pPr>
        <w:pStyle w:val="32"/>
        <w:tabs>
          <w:tab w:val="left" w:pos="720"/>
        </w:tabs>
        <w:spacing w:line="360" w:lineRule="auto"/>
        <w:ind w:firstLine="360"/>
        <w:jc w:val="both"/>
        <w:rPr>
          <w:rFonts w:ascii="Times New Roman" w:hAnsi="Times New Roman"/>
          <w:kern w:val="2"/>
          <w:sz w:val="21"/>
          <w:szCs w:val="24"/>
          <w:lang w:val="en-US" w:eastAsia="zh-CN"/>
        </w:rPr>
      </w:pPr>
      <w:r>
        <w:rPr>
          <w:rFonts w:ascii="Times New Roman" w:hAnsi="Times New Roman"/>
          <w:kern w:val="2"/>
          <w:sz w:val="21"/>
          <w:szCs w:val="24"/>
          <w:lang w:val="en-US" w:eastAsia="zh-CN"/>
        </w:rPr>
        <w:t>k)</w:t>
      </w:r>
      <w:r>
        <w:rPr>
          <w:rFonts w:ascii="Times New Roman" w:hAnsi="Times New Roman"/>
          <w:kern w:val="2"/>
          <w:sz w:val="21"/>
          <w:szCs w:val="24"/>
          <w:lang w:val="en-US" w:eastAsia="zh-CN"/>
        </w:rPr>
        <w:tab/>
      </w:r>
      <w:r>
        <w:rPr>
          <w:rFonts w:hint="eastAsia" w:ascii="Times New Roman" w:hAnsi="Times New Roman"/>
          <w:kern w:val="2"/>
          <w:sz w:val="21"/>
          <w:szCs w:val="24"/>
          <w:lang w:val="en-US" w:eastAsia="zh-CN"/>
        </w:rPr>
        <w:t>进入甲方或甲方客户地点后，应当佩带胸卡</w:t>
      </w:r>
      <w:r>
        <w:rPr>
          <w:rFonts w:ascii="Times New Roman" w:hAnsi="Times New Roman"/>
          <w:kern w:val="2"/>
          <w:sz w:val="21"/>
          <w:szCs w:val="24"/>
          <w:lang w:val="en-US" w:eastAsia="zh-CN"/>
        </w:rPr>
        <w:t>;</w:t>
      </w:r>
    </w:p>
    <w:p>
      <w:pPr>
        <w:pStyle w:val="32"/>
        <w:tabs>
          <w:tab w:val="left" w:pos="720"/>
        </w:tabs>
        <w:spacing w:line="360" w:lineRule="auto"/>
        <w:ind w:firstLine="360"/>
        <w:jc w:val="both"/>
        <w:rPr>
          <w:rFonts w:ascii="Times New Roman" w:hAnsi="Times New Roman"/>
          <w:kern w:val="2"/>
          <w:sz w:val="21"/>
          <w:szCs w:val="24"/>
          <w:lang w:val="en-US" w:eastAsia="zh-CN"/>
        </w:rPr>
      </w:pPr>
      <w:r>
        <w:rPr>
          <w:rFonts w:ascii="Times New Roman" w:hAnsi="Times New Roman"/>
          <w:kern w:val="2"/>
          <w:sz w:val="21"/>
          <w:szCs w:val="24"/>
          <w:lang w:val="en-US" w:eastAsia="zh-CN"/>
        </w:rPr>
        <w:t xml:space="preserve">l) </w:t>
      </w:r>
      <w:r>
        <w:rPr>
          <w:rFonts w:hint="eastAsia" w:ascii="Times New Roman" w:hAnsi="Times New Roman"/>
          <w:kern w:val="2"/>
          <w:sz w:val="21"/>
          <w:szCs w:val="24"/>
          <w:lang w:val="en-US" w:eastAsia="zh-CN"/>
        </w:rPr>
        <w:t>提供国家规定的特殊工种作业证</w:t>
      </w:r>
      <w:r>
        <w:rPr>
          <w:rFonts w:ascii="Times New Roman" w:hAnsi="Times New Roman"/>
          <w:kern w:val="2"/>
          <w:sz w:val="21"/>
          <w:szCs w:val="24"/>
          <w:lang w:val="en-US" w:eastAsia="zh-CN"/>
        </w:rPr>
        <w:t>;</w:t>
      </w:r>
    </w:p>
    <w:p>
      <w:pPr>
        <w:pStyle w:val="32"/>
        <w:tabs>
          <w:tab w:val="left" w:pos="720"/>
        </w:tabs>
        <w:spacing w:line="360" w:lineRule="auto"/>
        <w:ind w:firstLine="360"/>
        <w:jc w:val="both"/>
        <w:rPr>
          <w:rFonts w:ascii="Times New Roman" w:hAnsi="Times New Roman"/>
          <w:kern w:val="2"/>
          <w:sz w:val="21"/>
          <w:szCs w:val="24"/>
          <w:lang w:val="en-US" w:eastAsia="zh-CN"/>
        </w:rPr>
      </w:pPr>
      <w:r>
        <w:rPr>
          <w:rFonts w:ascii="Times New Roman" w:hAnsi="Times New Roman"/>
          <w:kern w:val="2"/>
          <w:sz w:val="21"/>
          <w:szCs w:val="24"/>
          <w:lang w:val="en-US" w:eastAsia="zh-CN"/>
        </w:rPr>
        <w:t>m)</w:t>
      </w:r>
      <w:r>
        <w:rPr>
          <w:rFonts w:ascii="Times New Roman" w:hAnsi="Times New Roman"/>
          <w:kern w:val="2"/>
          <w:sz w:val="21"/>
          <w:szCs w:val="24"/>
          <w:lang w:val="en-US" w:eastAsia="zh-CN"/>
        </w:rPr>
        <w:tab/>
      </w:r>
      <w:r>
        <w:rPr>
          <w:rFonts w:hint="eastAsia" w:ascii="Times New Roman" w:hAnsi="Times New Roman"/>
          <w:kern w:val="2"/>
          <w:sz w:val="21"/>
          <w:szCs w:val="24"/>
          <w:lang w:val="en-US" w:eastAsia="zh-CN"/>
        </w:rPr>
        <w:t>未经许可，不得动用任何甲方的设备和工具</w:t>
      </w:r>
      <w:r>
        <w:rPr>
          <w:rFonts w:ascii="Times New Roman" w:hAnsi="Times New Roman"/>
          <w:kern w:val="2"/>
          <w:sz w:val="21"/>
          <w:szCs w:val="24"/>
          <w:lang w:val="en-US" w:eastAsia="zh-CN"/>
        </w:rPr>
        <w:t>;</w:t>
      </w:r>
    </w:p>
    <w:p>
      <w:pPr>
        <w:pStyle w:val="32"/>
        <w:tabs>
          <w:tab w:val="left" w:pos="720"/>
        </w:tabs>
        <w:spacing w:line="360" w:lineRule="auto"/>
        <w:ind w:firstLine="360"/>
        <w:jc w:val="both"/>
        <w:rPr>
          <w:rFonts w:ascii="Times New Roman" w:hAnsi="Times New Roman"/>
          <w:kern w:val="2"/>
          <w:sz w:val="21"/>
          <w:szCs w:val="24"/>
          <w:lang w:val="en-US" w:eastAsia="zh-CN"/>
        </w:rPr>
      </w:pPr>
      <w:r>
        <w:rPr>
          <w:rFonts w:ascii="Times New Roman" w:hAnsi="Times New Roman"/>
          <w:kern w:val="2"/>
          <w:sz w:val="21"/>
          <w:szCs w:val="24"/>
          <w:lang w:val="en-US" w:eastAsia="zh-CN"/>
        </w:rPr>
        <w:t>n)</w:t>
      </w:r>
      <w:r>
        <w:rPr>
          <w:rFonts w:ascii="Times New Roman" w:hAnsi="Times New Roman"/>
          <w:kern w:val="2"/>
          <w:sz w:val="21"/>
          <w:szCs w:val="24"/>
          <w:lang w:val="en-US" w:eastAsia="zh-CN"/>
        </w:rPr>
        <w:tab/>
      </w:r>
      <w:r>
        <w:rPr>
          <w:rFonts w:hint="eastAsia" w:ascii="Times New Roman" w:hAnsi="Times New Roman"/>
          <w:kern w:val="2"/>
          <w:sz w:val="21"/>
          <w:szCs w:val="24"/>
          <w:lang w:val="en-US" w:eastAsia="zh-CN"/>
        </w:rPr>
        <w:t>只允许在批准的作业区内工作</w:t>
      </w:r>
      <w:r>
        <w:rPr>
          <w:rFonts w:ascii="Times New Roman" w:hAnsi="Times New Roman"/>
          <w:kern w:val="2"/>
          <w:sz w:val="21"/>
          <w:szCs w:val="24"/>
          <w:lang w:val="en-US" w:eastAsia="zh-CN"/>
        </w:rPr>
        <w:t>;</w:t>
      </w:r>
    </w:p>
    <w:p>
      <w:pPr>
        <w:pStyle w:val="32"/>
        <w:tabs>
          <w:tab w:val="left" w:pos="720"/>
        </w:tabs>
        <w:spacing w:line="360" w:lineRule="auto"/>
        <w:ind w:firstLine="360"/>
        <w:jc w:val="both"/>
        <w:rPr>
          <w:rFonts w:ascii="Times New Roman" w:hAnsi="Times New Roman"/>
          <w:kern w:val="2"/>
          <w:sz w:val="21"/>
          <w:szCs w:val="24"/>
          <w:lang w:val="en-US" w:eastAsia="zh-CN"/>
        </w:rPr>
      </w:pPr>
      <w:r>
        <w:rPr>
          <w:rFonts w:ascii="Times New Roman" w:hAnsi="Times New Roman"/>
          <w:kern w:val="2"/>
          <w:sz w:val="21"/>
          <w:szCs w:val="24"/>
          <w:lang w:val="en-US" w:eastAsia="zh-CN"/>
        </w:rPr>
        <w:t>o)</w:t>
      </w:r>
      <w:r>
        <w:rPr>
          <w:rFonts w:ascii="Times New Roman" w:hAnsi="Times New Roman"/>
          <w:kern w:val="2"/>
          <w:sz w:val="21"/>
          <w:szCs w:val="24"/>
          <w:lang w:val="en-US" w:eastAsia="zh-CN"/>
        </w:rPr>
        <w:tab/>
      </w:r>
      <w:r>
        <w:rPr>
          <w:rFonts w:hint="eastAsia" w:ascii="Times New Roman" w:hAnsi="Times New Roman"/>
          <w:kern w:val="2"/>
          <w:sz w:val="21"/>
          <w:szCs w:val="24"/>
          <w:lang w:val="en-US" w:eastAsia="zh-CN"/>
        </w:rPr>
        <w:t>悬挂安全标识，使用隔离设施</w:t>
      </w:r>
      <w:r>
        <w:rPr>
          <w:rFonts w:ascii="Times New Roman" w:hAnsi="Times New Roman"/>
          <w:kern w:val="2"/>
          <w:sz w:val="21"/>
          <w:szCs w:val="24"/>
          <w:lang w:val="en-US" w:eastAsia="zh-CN"/>
        </w:rPr>
        <w:t>;</w:t>
      </w:r>
    </w:p>
    <w:p>
      <w:pPr>
        <w:pStyle w:val="32"/>
        <w:tabs>
          <w:tab w:val="left" w:pos="720"/>
        </w:tabs>
        <w:spacing w:line="360" w:lineRule="auto"/>
        <w:ind w:firstLine="360"/>
        <w:jc w:val="both"/>
        <w:rPr>
          <w:rFonts w:ascii="Times New Roman" w:hAnsi="Times New Roman"/>
          <w:kern w:val="2"/>
          <w:sz w:val="21"/>
          <w:szCs w:val="24"/>
          <w:lang w:val="en-US" w:eastAsia="zh-CN"/>
        </w:rPr>
      </w:pPr>
      <w:r>
        <w:rPr>
          <w:rFonts w:ascii="Times New Roman" w:hAnsi="Times New Roman"/>
          <w:kern w:val="2"/>
          <w:sz w:val="21"/>
          <w:szCs w:val="24"/>
          <w:lang w:val="en-US" w:eastAsia="zh-CN"/>
        </w:rPr>
        <w:t>p)</w:t>
      </w:r>
      <w:r>
        <w:rPr>
          <w:rFonts w:ascii="Times New Roman" w:hAnsi="Times New Roman"/>
          <w:kern w:val="2"/>
          <w:sz w:val="21"/>
          <w:szCs w:val="24"/>
          <w:lang w:val="en-US" w:eastAsia="zh-CN"/>
        </w:rPr>
        <w:tab/>
      </w:r>
      <w:r>
        <w:rPr>
          <w:rFonts w:hint="eastAsia" w:ascii="Times New Roman" w:hAnsi="Times New Roman"/>
          <w:kern w:val="2"/>
          <w:sz w:val="21"/>
          <w:szCs w:val="24"/>
          <w:lang w:val="en-US" w:eastAsia="zh-CN"/>
        </w:rPr>
        <w:t>使用钢制的脚手架。脚手架需正确安装，并在开工前进行验收。</w:t>
      </w:r>
    </w:p>
    <w:p>
      <w:pPr>
        <w:spacing w:after="120" w:line="360" w:lineRule="auto"/>
        <w:ind w:left="-9"/>
      </w:pPr>
      <w:r>
        <w:t>安全施工方案</w:t>
      </w:r>
    </w:p>
    <w:p>
      <w:pPr>
        <w:pStyle w:val="32"/>
        <w:spacing w:line="360" w:lineRule="auto"/>
        <w:ind w:firstLine="420" w:firstLineChars="200"/>
        <w:jc w:val="both"/>
        <w:rPr>
          <w:rFonts w:ascii="Times New Roman" w:hAnsi="Times New Roman"/>
          <w:kern w:val="2"/>
          <w:sz w:val="21"/>
          <w:szCs w:val="24"/>
          <w:lang w:val="en-US" w:eastAsia="zh-CN"/>
        </w:rPr>
      </w:pPr>
      <w:r>
        <w:rPr>
          <w:rFonts w:hint="eastAsia" w:ascii="Times New Roman" w:hAnsi="Times New Roman"/>
          <w:kern w:val="2"/>
          <w:sz w:val="21"/>
          <w:szCs w:val="24"/>
          <w:lang w:val="en-US" w:eastAsia="zh-CN"/>
        </w:rPr>
        <w:t>为了安全地进行特殊工作，要求供方制定符合甲方标准的“安全施工方案”。</w:t>
      </w:r>
    </w:p>
    <w:p>
      <w:pPr>
        <w:pStyle w:val="32"/>
        <w:spacing w:line="360" w:lineRule="auto"/>
        <w:ind w:left="420" w:leftChars="200"/>
        <w:jc w:val="both"/>
        <w:rPr>
          <w:rFonts w:ascii="Times New Roman" w:hAnsi="Times New Roman"/>
          <w:kern w:val="2"/>
          <w:sz w:val="21"/>
          <w:szCs w:val="24"/>
          <w:lang w:val="en-US" w:eastAsia="zh-CN"/>
        </w:rPr>
      </w:pPr>
      <w:r>
        <w:rPr>
          <w:rFonts w:hint="eastAsia" w:ascii="Times New Roman" w:hAnsi="Times New Roman"/>
          <w:kern w:val="2"/>
          <w:sz w:val="21"/>
          <w:szCs w:val="24"/>
          <w:lang w:val="en-US" w:eastAsia="zh-CN"/>
        </w:rPr>
        <w:t>安全施工方案应当包括工作说明、员工或管理人员的资格证明及管理部门的签字等。 安全检查单可以根据作业内容</w:t>
      </w:r>
      <w:r>
        <w:rPr>
          <w:rFonts w:ascii="Times New Roman" w:hAnsi="Times New Roman"/>
          <w:kern w:val="2"/>
          <w:sz w:val="21"/>
          <w:szCs w:val="24"/>
          <w:lang w:val="en-US" w:eastAsia="zh-CN"/>
        </w:rPr>
        <w:t>及工作要求而更改。</w:t>
      </w:r>
    </w:p>
    <w:p>
      <w:pPr>
        <w:spacing w:after="120" w:line="360" w:lineRule="auto"/>
        <w:ind w:left="-9"/>
      </w:pPr>
      <w:r>
        <w:rPr>
          <w:rFonts w:hint="eastAsia"/>
        </w:rPr>
        <w:t>甲方</w:t>
      </w:r>
      <w:r>
        <w:t xml:space="preserve">审核 </w:t>
      </w:r>
    </w:p>
    <w:p>
      <w:pPr>
        <w:pStyle w:val="32"/>
        <w:spacing w:line="360" w:lineRule="auto"/>
        <w:ind w:firstLine="420" w:firstLineChars="200"/>
        <w:jc w:val="both"/>
        <w:rPr>
          <w:rFonts w:ascii="Times New Roman" w:hAnsi="Times New Roman"/>
          <w:kern w:val="2"/>
          <w:sz w:val="21"/>
          <w:szCs w:val="24"/>
          <w:lang w:val="en-US" w:eastAsia="zh-CN"/>
        </w:rPr>
      </w:pPr>
      <w:r>
        <w:rPr>
          <w:rFonts w:hint="eastAsia" w:ascii="Times New Roman" w:hAnsi="Times New Roman"/>
          <w:kern w:val="2"/>
          <w:sz w:val="21"/>
          <w:szCs w:val="24"/>
          <w:lang w:val="en-US" w:eastAsia="zh-CN"/>
        </w:rPr>
        <w:t>在施工之前，供方应协助甲方一起对其安全计划进行审核并作相应的修改。</w:t>
      </w:r>
    </w:p>
    <w:p>
      <w:pPr>
        <w:spacing w:after="120" w:line="360" w:lineRule="auto"/>
        <w:ind w:left="-9"/>
        <w:rPr>
          <w:b/>
          <w:sz w:val="28"/>
        </w:rPr>
      </w:pPr>
      <w:r>
        <w:rPr>
          <w:rFonts w:hint="eastAsia"/>
          <w:b/>
          <w:sz w:val="28"/>
        </w:rPr>
        <w:t>二、相关</w:t>
      </w:r>
      <w:r>
        <w:rPr>
          <w:b/>
          <w:sz w:val="28"/>
        </w:rPr>
        <w:t>作业</w:t>
      </w:r>
      <w:r>
        <w:rPr>
          <w:rFonts w:hint="eastAsia"/>
          <w:b/>
          <w:sz w:val="28"/>
        </w:rPr>
        <w:t>E</w:t>
      </w:r>
      <w:r>
        <w:rPr>
          <w:b/>
          <w:sz w:val="28"/>
        </w:rPr>
        <w:t>HS要求</w:t>
      </w:r>
      <w:r>
        <w:rPr>
          <w:rFonts w:hint="eastAsia"/>
          <w:b/>
          <w:sz w:val="28"/>
        </w:rPr>
        <w:t>告知</w:t>
      </w:r>
    </w:p>
    <w:p>
      <w:pPr>
        <w:spacing w:after="120" w:line="360" w:lineRule="auto"/>
        <w:ind w:left="-9"/>
        <w:rPr>
          <w:b/>
          <w:sz w:val="28"/>
        </w:rPr>
      </w:pPr>
      <w:r>
        <w:rPr>
          <w:rFonts w:hint="eastAsia"/>
        </w:rPr>
        <w:t>所有的供应商必须遵守下列基本的</w:t>
      </w:r>
      <w:r>
        <w:t>EHS</w:t>
      </w:r>
      <w:r>
        <w:rPr>
          <w:rFonts w:hint="eastAsia"/>
        </w:rPr>
        <w:t>要求，包括但不限于以下内容：</w:t>
      </w:r>
    </w:p>
    <w:p>
      <w:pPr>
        <w:spacing w:line="360" w:lineRule="auto"/>
        <w:rPr>
          <w:b/>
          <w:sz w:val="28"/>
          <w:szCs w:val="28"/>
          <w:u w:val="single"/>
        </w:rPr>
      </w:pPr>
      <w:r>
        <w:rPr>
          <w:rFonts w:hint="eastAsia"/>
          <w:b/>
          <w:sz w:val="28"/>
          <w:szCs w:val="28"/>
          <w:u w:val="single"/>
        </w:rPr>
        <w:t>安全隐患汇报</w:t>
      </w:r>
    </w:p>
    <w:p>
      <w:pPr>
        <w:pStyle w:val="32"/>
        <w:spacing w:line="360" w:lineRule="auto"/>
        <w:ind w:left="360" w:firstLine="420" w:firstLineChars="200"/>
        <w:jc w:val="both"/>
        <w:rPr>
          <w:rFonts w:ascii="Times New Roman" w:hAnsi="Times New Roman"/>
          <w:kern w:val="2"/>
          <w:sz w:val="21"/>
          <w:szCs w:val="24"/>
          <w:lang w:val="en-US" w:eastAsia="zh-CN"/>
        </w:rPr>
      </w:pPr>
      <w:r>
        <w:rPr>
          <w:rFonts w:hint="eastAsia" w:ascii="Times New Roman" w:hAnsi="Times New Roman"/>
          <w:kern w:val="2"/>
          <w:sz w:val="21"/>
          <w:szCs w:val="24"/>
          <w:lang w:val="en-US" w:eastAsia="zh-CN"/>
        </w:rPr>
        <w:t>任何在作业现场发现的事故隐患（供方无法管理），必须向甲方汇报以便及时采取措施消除事故隐患。</w:t>
      </w:r>
    </w:p>
    <w:p>
      <w:pPr>
        <w:pStyle w:val="32"/>
        <w:spacing w:line="360" w:lineRule="auto"/>
        <w:ind w:left="360" w:firstLine="420" w:firstLineChars="200"/>
        <w:jc w:val="both"/>
        <w:rPr>
          <w:rFonts w:ascii="Times New Roman" w:hAnsi="Times New Roman"/>
          <w:kern w:val="2"/>
          <w:sz w:val="21"/>
          <w:szCs w:val="24"/>
          <w:lang w:val="en-US" w:eastAsia="zh-CN"/>
        </w:rPr>
      </w:pPr>
      <w:r>
        <w:rPr>
          <w:rFonts w:hint="eastAsia" w:ascii="Times New Roman" w:hAnsi="Times New Roman"/>
          <w:kern w:val="2"/>
          <w:sz w:val="21"/>
          <w:szCs w:val="24"/>
          <w:lang w:val="en-US" w:eastAsia="zh-CN"/>
        </w:rPr>
        <w:t>任何在作业现场发现的事故隐患（在供方管理内），必须立即采取有效措施消除事故隐患避免事故发生。</w:t>
      </w:r>
    </w:p>
    <w:p>
      <w:pPr>
        <w:spacing w:line="360" w:lineRule="auto"/>
        <w:rPr>
          <w:b/>
          <w:sz w:val="28"/>
          <w:szCs w:val="28"/>
          <w:u w:val="single"/>
        </w:rPr>
      </w:pPr>
      <w:r>
        <w:rPr>
          <w:rFonts w:hint="eastAsia"/>
          <w:b/>
          <w:sz w:val="28"/>
          <w:szCs w:val="28"/>
          <w:u w:val="single"/>
        </w:rPr>
        <w:t>事故汇报</w:t>
      </w:r>
    </w:p>
    <w:p>
      <w:pPr>
        <w:pStyle w:val="32"/>
        <w:spacing w:line="360" w:lineRule="auto"/>
        <w:ind w:left="360" w:firstLine="420" w:firstLineChars="200"/>
        <w:jc w:val="both"/>
        <w:rPr>
          <w:rFonts w:ascii="Times New Roman" w:hAnsi="Times New Roman"/>
          <w:kern w:val="2"/>
          <w:sz w:val="21"/>
          <w:szCs w:val="24"/>
          <w:lang w:val="en-US" w:eastAsia="zh-CN"/>
        </w:rPr>
      </w:pPr>
      <w:r>
        <w:rPr>
          <w:rFonts w:hint="eastAsia" w:ascii="Times New Roman" w:hAnsi="Times New Roman"/>
          <w:kern w:val="2"/>
          <w:sz w:val="21"/>
          <w:szCs w:val="24"/>
          <w:lang w:val="en-US" w:eastAsia="zh-CN"/>
        </w:rPr>
        <w:t>当事故发生时，应立即实施救助，保护现场并马上通知甲方，事故不得存在瞒报和延迟汇报的情况。</w:t>
      </w:r>
    </w:p>
    <w:p>
      <w:pPr>
        <w:spacing w:line="360" w:lineRule="auto"/>
        <w:rPr>
          <w:b/>
          <w:sz w:val="28"/>
          <w:szCs w:val="28"/>
          <w:u w:val="single"/>
        </w:rPr>
      </w:pPr>
      <w:r>
        <w:rPr>
          <w:rFonts w:hint="eastAsia"/>
          <w:b/>
          <w:sz w:val="28"/>
          <w:szCs w:val="28"/>
          <w:u w:val="single"/>
        </w:rPr>
        <w:t>作业许可证</w:t>
      </w:r>
    </w:p>
    <w:p>
      <w:pPr>
        <w:pStyle w:val="32"/>
        <w:spacing w:line="360" w:lineRule="auto"/>
        <w:ind w:left="360" w:firstLine="420" w:firstLineChars="200"/>
        <w:jc w:val="both"/>
        <w:rPr>
          <w:rFonts w:ascii="Times New Roman" w:hAnsi="Times New Roman"/>
          <w:kern w:val="2"/>
          <w:sz w:val="21"/>
          <w:szCs w:val="24"/>
          <w:lang w:val="en-US" w:eastAsia="zh-CN"/>
        </w:rPr>
      </w:pPr>
      <w:r>
        <w:rPr>
          <w:rFonts w:hint="eastAsia" w:ascii="Times New Roman" w:hAnsi="Times New Roman"/>
          <w:kern w:val="2"/>
          <w:sz w:val="21"/>
          <w:szCs w:val="24"/>
          <w:lang w:val="en-US" w:eastAsia="zh-CN"/>
        </w:rPr>
        <w:t>作业许可证是正式文件的一种，主要为确保高风险作业的有效控制措施在作业现场被作业人员有效实施，以此避免作业带来的伤害。</w:t>
      </w:r>
    </w:p>
    <w:p>
      <w:pPr>
        <w:pStyle w:val="32"/>
        <w:spacing w:line="360" w:lineRule="auto"/>
        <w:ind w:left="360" w:firstLine="210" w:firstLineChars="100"/>
        <w:jc w:val="both"/>
        <w:rPr>
          <w:rFonts w:ascii="Times New Roman" w:hAnsi="Times New Roman"/>
          <w:kern w:val="2"/>
          <w:sz w:val="21"/>
          <w:szCs w:val="24"/>
          <w:lang w:val="en-US" w:eastAsia="zh-CN"/>
        </w:rPr>
      </w:pPr>
      <w:r>
        <w:rPr>
          <w:rFonts w:hint="eastAsia" w:ascii="Times New Roman" w:hAnsi="Times New Roman"/>
          <w:kern w:val="2"/>
          <w:sz w:val="21"/>
          <w:szCs w:val="24"/>
          <w:lang w:val="en-US" w:eastAsia="zh-CN"/>
        </w:rPr>
        <w:t>有以下作业时需向物业甲方申请办理作业许可证后方可施工：</w:t>
      </w:r>
    </w:p>
    <w:p>
      <w:pPr>
        <w:numPr>
          <w:ilvl w:val="1"/>
          <w:numId w:val="1"/>
        </w:numPr>
        <w:spacing w:line="20" w:lineRule="atLeast"/>
        <w:ind w:firstLine="145" w:firstLineChars="66"/>
        <w:rPr>
          <w:rFonts w:ascii="微软雅黑" w:hAnsi="微软雅黑"/>
          <w:sz w:val="22"/>
          <w:szCs w:val="22"/>
        </w:rPr>
      </w:pPr>
      <w:r>
        <w:rPr>
          <w:rFonts w:hint="eastAsia" w:ascii="微软雅黑" w:hAnsi="微软雅黑"/>
          <w:sz w:val="22"/>
          <w:szCs w:val="22"/>
        </w:rPr>
        <w:t>电气设备维修作业</w:t>
      </w:r>
    </w:p>
    <w:p>
      <w:pPr>
        <w:numPr>
          <w:ilvl w:val="1"/>
          <w:numId w:val="1"/>
        </w:numPr>
        <w:spacing w:line="20" w:lineRule="atLeast"/>
        <w:ind w:firstLine="145" w:firstLineChars="66"/>
        <w:rPr>
          <w:rFonts w:ascii="微软雅黑" w:hAnsi="微软雅黑"/>
          <w:sz w:val="22"/>
          <w:szCs w:val="22"/>
        </w:rPr>
      </w:pPr>
      <w:r>
        <w:rPr>
          <w:rFonts w:hint="eastAsia" w:ascii="微软雅黑" w:hAnsi="微软雅黑"/>
          <w:sz w:val="22"/>
          <w:szCs w:val="22"/>
        </w:rPr>
        <w:t>临时用电</w:t>
      </w:r>
    </w:p>
    <w:p>
      <w:pPr>
        <w:numPr>
          <w:ilvl w:val="1"/>
          <w:numId w:val="1"/>
        </w:numPr>
        <w:spacing w:line="20" w:lineRule="atLeast"/>
        <w:ind w:firstLine="145" w:firstLineChars="66"/>
        <w:rPr>
          <w:rFonts w:ascii="微软雅黑" w:hAnsi="微软雅黑"/>
          <w:sz w:val="22"/>
          <w:szCs w:val="22"/>
        </w:rPr>
      </w:pPr>
      <w:r>
        <w:rPr>
          <w:rFonts w:hint="eastAsia" w:ascii="微软雅黑" w:hAnsi="微软雅黑"/>
          <w:sz w:val="22"/>
          <w:szCs w:val="22"/>
        </w:rPr>
        <w:t>动火作业</w:t>
      </w:r>
    </w:p>
    <w:p>
      <w:pPr>
        <w:numPr>
          <w:ilvl w:val="1"/>
          <w:numId w:val="1"/>
        </w:numPr>
        <w:spacing w:line="20" w:lineRule="atLeast"/>
        <w:ind w:firstLine="145" w:firstLineChars="66"/>
        <w:rPr>
          <w:rFonts w:ascii="微软雅黑" w:hAnsi="微软雅黑"/>
          <w:sz w:val="22"/>
          <w:szCs w:val="22"/>
        </w:rPr>
      </w:pPr>
      <w:r>
        <w:rPr>
          <w:rFonts w:hint="eastAsia" w:ascii="微软雅黑" w:hAnsi="微软雅黑"/>
          <w:sz w:val="22"/>
          <w:szCs w:val="22"/>
        </w:rPr>
        <w:t>挖掘和动土</w:t>
      </w:r>
    </w:p>
    <w:p>
      <w:pPr>
        <w:widowControl/>
        <w:numPr>
          <w:ilvl w:val="1"/>
          <w:numId w:val="1"/>
        </w:numPr>
        <w:tabs>
          <w:tab w:val="left" w:pos="142"/>
        </w:tabs>
        <w:ind w:firstLine="145" w:firstLineChars="66"/>
        <w:jc w:val="left"/>
        <w:rPr>
          <w:rFonts w:ascii="微软雅黑" w:hAnsi="微软雅黑"/>
          <w:sz w:val="22"/>
          <w:szCs w:val="22"/>
        </w:rPr>
      </w:pPr>
      <w:r>
        <w:rPr>
          <w:rFonts w:hint="eastAsia" w:ascii="微软雅黑" w:hAnsi="微软雅黑"/>
          <w:sz w:val="22"/>
          <w:szCs w:val="22"/>
        </w:rPr>
        <w:t>有毒有害受限空间作业（包括但不限于）</w:t>
      </w:r>
    </w:p>
    <w:p>
      <w:pPr>
        <w:widowControl/>
        <w:numPr>
          <w:ilvl w:val="3"/>
          <w:numId w:val="2"/>
        </w:numPr>
        <w:tabs>
          <w:tab w:val="left" w:pos="142"/>
        </w:tabs>
        <w:jc w:val="left"/>
        <w:rPr>
          <w:rFonts w:ascii="微软雅黑" w:hAnsi="微软雅黑"/>
          <w:sz w:val="22"/>
          <w:szCs w:val="22"/>
        </w:rPr>
      </w:pPr>
      <w:r>
        <w:rPr>
          <w:rFonts w:hint="eastAsia" w:ascii="微软雅黑" w:hAnsi="微软雅黑"/>
          <w:sz w:val="22"/>
          <w:szCs w:val="22"/>
        </w:rPr>
        <w:t>水箱清洁</w:t>
      </w:r>
    </w:p>
    <w:p>
      <w:pPr>
        <w:widowControl/>
        <w:numPr>
          <w:ilvl w:val="3"/>
          <w:numId w:val="2"/>
        </w:numPr>
        <w:tabs>
          <w:tab w:val="left" w:pos="142"/>
        </w:tabs>
        <w:jc w:val="left"/>
        <w:rPr>
          <w:rFonts w:ascii="微软雅黑" w:hAnsi="微软雅黑"/>
          <w:sz w:val="22"/>
          <w:szCs w:val="22"/>
        </w:rPr>
      </w:pPr>
      <w:r>
        <w:rPr>
          <w:rFonts w:hint="eastAsia" w:ascii="微软雅黑" w:hAnsi="微软雅黑"/>
          <w:sz w:val="22"/>
          <w:szCs w:val="22"/>
        </w:rPr>
        <w:t>进入集水井，冷却塔，污水井</w:t>
      </w:r>
    </w:p>
    <w:p>
      <w:pPr>
        <w:widowControl/>
        <w:numPr>
          <w:ilvl w:val="3"/>
          <w:numId w:val="2"/>
        </w:numPr>
        <w:tabs>
          <w:tab w:val="left" w:pos="142"/>
        </w:tabs>
        <w:jc w:val="left"/>
        <w:rPr>
          <w:rFonts w:ascii="微软雅黑" w:hAnsi="微软雅黑"/>
          <w:sz w:val="22"/>
          <w:szCs w:val="22"/>
        </w:rPr>
      </w:pPr>
      <w:r>
        <w:rPr>
          <w:rFonts w:hint="eastAsia" w:ascii="微软雅黑" w:hAnsi="微软雅黑"/>
          <w:sz w:val="22"/>
          <w:szCs w:val="22"/>
        </w:rPr>
        <w:t>建筑通风管道需要人员进入清洁</w:t>
      </w:r>
    </w:p>
    <w:p>
      <w:pPr>
        <w:numPr>
          <w:ilvl w:val="1"/>
          <w:numId w:val="1"/>
        </w:numPr>
        <w:spacing w:line="20" w:lineRule="atLeast"/>
        <w:ind w:firstLine="145" w:firstLineChars="66"/>
        <w:rPr>
          <w:rFonts w:ascii="微软雅黑" w:hAnsi="微软雅黑"/>
          <w:sz w:val="22"/>
          <w:szCs w:val="22"/>
        </w:rPr>
      </w:pPr>
      <w:r>
        <w:rPr>
          <w:rFonts w:hint="eastAsia" w:ascii="微软雅黑" w:hAnsi="微软雅黑"/>
          <w:sz w:val="22"/>
          <w:szCs w:val="22"/>
        </w:rPr>
        <w:t>高处作业（包括但不限于）</w:t>
      </w:r>
    </w:p>
    <w:p>
      <w:pPr>
        <w:widowControl/>
        <w:numPr>
          <w:ilvl w:val="3"/>
          <w:numId w:val="3"/>
        </w:numPr>
        <w:tabs>
          <w:tab w:val="left" w:pos="142"/>
        </w:tabs>
        <w:jc w:val="left"/>
        <w:rPr>
          <w:rFonts w:ascii="微软雅黑" w:hAnsi="微软雅黑"/>
          <w:sz w:val="22"/>
          <w:szCs w:val="22"/>
        </w:rPr>
      </w:pPr>
      <w:r>
        <w:rPr>
          <w:rFonts w:hint="eastAsia" w:ascii="微软雅黑" w:hAnsi="微软雅黑"/>
          <w:sz w:val="22"/>
          <w:szCs w:val="22"/>
        </w:rPr>
        <w:t>设备安装维修登高作业</w:t>
      </w:r>
    </w:p>
    <w:p>
      <w:pPr>
        <w:widowControl/>
        <w:numPr>
          <w:ilvl w:val="3"/>
          <w:numId w:val="3"/>
        </w:numPr>
        <w:tabs>
          <w:tab w:val="left" w:pos="142"/>
        </w:tabs>
        <w:jc w:val="left"/>
        <w:rPr>
          <w:rFonts w:ascii="微软雅黑" w:hAnsi="微软雅黑"/>
          <w:sz w:val="22"/>
          <w:szCs w:val="22"/>
        </w:rPr>
      </w:pPr>
      <w:r>
        <w:rPr>
          <w:rFonts w:hint="eastAsia" w:ascii="微软雅黑" w:hAnsi="微软雅黑"/>
          <w:sz w:val="22"/>
          <w:szCs w:val="22"/>
        </w:rPr>
        <w:t>脚手架作业</w:t>
      </w:r>
    </w:p>
    <w:p>
      <w:pPr>
        <w:widowControl/>
        <w:numPr>
          <w:ilvl w:val="3"/>
          <w:numId w:val="3"/>
        </w:numPr>
        <w:tabs>
          <w:tab w:val="left" w:pos="142"/>
        </w:tabs>
        <w:jc w:val="left"/>
        <w:rPr>
          <w:rFonts w:ascii="微软雅黑" w:hAnsi="微软雅黑"/>
          <w:sz w:val="22"/>
          <w:szCs w:val="22"/>
        </w:rPr>
      </w:pPr>
      <w:r>
        <w:rPr>
          <w:rFonts w:hint="eastAsia" w:ascii="微软雅黑" w:hAnsi="微软雅黑"/>
          <w:sz w:val="22"/>
          <w:szCs w:val="22"/>
        </w:rPr>
        <w:t>外墙（玻璃）的清洁和维修</w:t>
      </w:r>
    </w:p>
    <w:p>
      <w:pPr>
        <w:widowControl/>
        <w:numPr>
          <w:ilvl w:val="1"/>
          <w:numId w:val="1"/>
        </w:numPr>
        <w:tabs>
          <w:tab w:val="left" w:pos="142"/>
        </w:tabs>
        <w:ind w:firstLine="145" w:firstLineChars="66"/>
        <w:jc w:val="left"/>
        <w:rPr>
          <w:rFonts w:ascii="微软雅黑" w:hAnsi="微软雅黑"/>
          <w:sz w:val="22"/>
          <w:szCs w:val="22"/>
        </w:rPr>
      </w:pPr>
      <w:r>
        <w:rPr>
          <w:rFonts w:hint="eastAsia" w:ascii="微软雅黑" w:hAnsi="微软雅黑"/>
          <w:sz w:val="22"/>
          <w:szCs w:val="22"/>
        </w:rPr>
        <w:t>压力系统/管道测试</w:t>
      </w:r>
    </w:p>
    <w:p>
      <w:pPr>
        <w:widowControl/>
        <w:numPr>
          <w:ilvl w:val="1"/>
          <w:numId w:val="1"/>
        </w:numPr>
        <w:tabs>
          <w:tab w:val="left" w:pos="142"/>
        </w:tabs>
        <w:ind w:firstLine="145" w:firstLineChars="66"/>
        <w:jc w:val="left"/>
        <w:rPr>
          <w:rFonts w:ascii="微软雅黑" w:hAnsi="微软雅黑"/>
          <w:sz w:val="22"/>
          <w:szCs w:val="22"/>
        </w:rPr>
      </w:pPr>
      <w:r>
        <w:rPr>
          <w:rFonts w:hint="eastAsia" w:ascii="微软雅黑" w:hAnsi="微软雅黑"/>
          <w:sz w:val="22"/>
          <w:szCs w:val="22"/>
        </w:rPr>
        <w:t>中断消防系统作业</w:t>
      </w:r>
    </w:p>
    <w:p>
      <w:pPr>
        <w:widowControl/>
        <w:numPr>
          <w:ilvl w:val="1"/>
          <w:numId w:val="1"/>
        </w:numPr>
        <w:tabs>
          <w:tab w:val="left" w:pos="142"/>
        </w:tabs>
        <w:ind w:firstLine="145" w:firstLineChars="66"/>
        <w:jc w:val="left"/>
        <w:rPr>
          <w:rFonts w:ascii="微软雅黑" w:hAnsi="微软雅黑"/>
          <w:sz w:val="22"/>
          <w:szCs w:val="22"/>
        </w:rPr>
      </w:pPr>
      <w:r>
        <w:rPr>
          <w:rFonts w:hint="eastAsia" w:ascii="微软雅黑" w:hAnsi="微软雅黑"/>
          <w:sz w:val="22"/>
          <w:szCs w:val="22"/>
        </w:rPr>
        <w:t>水上或靠近水域的作业</w:t>
      </w:r>
    </w:p>
    <w:p>
      <w:pPr>
        <w:widowControl/>
        <w:numPr>
          <w:ilvl w:val="1"/>
          <w:numId w:val="1"/>
        </w:numPr>
        <w:tabs>
          <w:tab w:val="left" w:pos="142"/>
        </w:tabs>
        <w:ind w:firstLine="145" w:firstLineChars="66"/>
        <w:jc w:val="left"/>
        <w:rPr>
          <w:rFonts w:ascii="微软雅黑" w:hAnsi="微软雅黑"/>
          <w:sz w:val="22"/>
          <w:szCs w:val="22"/>
        </w:rPr>
      </w:pPr>
      <w:r>
        <w:rPr>
          <w:rFonts w:hint="eastAsia" w:ascii="微软雅黑" w:hAnsi="微软雅黑"/>
          <w:sz w:val="22"/>
          <w:szCs w:val="22"/>
        </w:rPr>
        <w:t>含有石棉材料的拆除</w:t>
      </w:r>
    </w:p>
    <w:p>
      <w:pPr>
        <w:widowControl/>
        <w:numPr>
          <w:ilvl w:val="1"/>
          <w:numId w:val="1"/>
        </w:numPr>
        <w:tabs>
          <w:tab w:val="left" w:pos="142"/>
        </w:tabs>
        <w:ind w:firstLine="145" w:firstLineChars="66"/>
        <w:jc w:val="left"/>
        <w:rPr>
          <w:rFonts w:ascii="微软雅黑" w:hAnsi="微软雅黑"/>
          <w:sz w:val="22"/>
          <w:szCs w:val="22"/>
        </w:rPr>
      </w:pPr>
      <w:r>
        <w:rPr>
          <w:rFonts w:hint="eastAsia" w:ascii="微软雅黑" w:hAnsi="微软雅黑"/>
          <w:sz w:val="22"/>
          <w:szCs w:val="22"/>
        </w:rPr>
        <w:t>吊装作业</w:t>
      </w:r>
    </w:p>
    <w:p>
      <w:pPr>
        <w:spacing w:line="20" w:lineRule="atLeast"/>
        <w:rPr>
          <w:rFonts w:ascii="华文细黑" w:hAnsi="华文细黑" w:eastAsia="华文细黑"/>
        </w:rPr>
      </w:pPr>
    </w:p>
    <w:p>
      <w:pPr>
        <w:spacing w:line="360" w:lineRule="auto"/>
        <w:rPr>
          <w:b/>
          <w:sz w:val="28"/>
          <w:szCs w:val="28"/>
          <w:u w:val="single"/>
        </w:rPr>
      </w:pPr>
      <w:r>
        <w:rPr>
          <w:rFonts w:hint="eastAsia"/>
          <w:b/>
          <w:sz w:val="28"/>
          <w:szCs w:val="28"/>
          <w:u w:val="single"/>
        </w:rPr>
        <w:t>高处作业</w:t>
      </w:r>
    </w:p>
    <w:p>
      <w:pPr>
        <w:pStyle w:val="32"/>
        <w:spacing w:line="360" w:lineRule="auto"/>
        <w:ind w:left="360" w:firstLine="420" w:firstLineChars="200"/>
        <w:jc w:val="both"/>
        <w:rPr>
          <w:rFonts w:ascii="Times New Roman" w:hAnsi="Times New Roman"/>
          <w:kern w:val="2"/>
          <w:sz w:val="21"/>
          <w:szCs w:val="24"/>
          <w:lang w:val="en-US" w:eastAsia="zh-CN"/>
        </w:rPr>
      </w:pPr>
      <w:r>
        <w:rPr>
          <w:rFonts w:hint="eastAsia" w:ascii="Times New Roman" w:hAnsi="Times New Roman"/>
          <w:kern w:val="2"/>
          <w:sz w:val="21"/>
          <w:szCs w:val="24"/>
          <w:lang w:val="en-US" w:eastAsia="zh-CN"/>
        </w:rPr>
        <w:t>所有需要在坠落高度基准面2米以上高度的作业都被视为高处作业，特定作业须经过许可证申请流程后方可进行。外墙清洗安全要求请见《外墙清洗安全要求告知书》。</w:t>
      </w:r>
    </w:p>
    <w:p>
      <w:pPr>
        <w:pStyle w:val="32"/>
        <w:spacing w:line="360" w:lineRule="auto"/>
        <w:ind w:left="360" w:firstLine="420" w:firstLineChars="200"/>
        <w:jc w:val="both"/>
        <w:rPr>
          <w:rFonts w:ascii="Times New Roman" w:hAnsi="Times New Roman"/>
          <w:kern w:val="2"/>
          <w:sz w:val="21"/>
          <w:szCs w:val="24"/>
          <w:lang w:val="en-US" w:eastAsia="zh-CN"/>
        </w:rPr>
      </w:pPr>
      <w:r>
        <w:rPr>
          <w:rFonts w:hint="eastAsia" w:ascii="Times New Roman" w:hAnsi="Times New Roman"/>
          <w:kern w:val="2"/>
          <w:sz w:val="21"/>
          <w:szCs w:val="24"/>
          <w:lang w:val="en-US" w:eastAsia="zh-CN"/>
        </w:rPr>
        <w:t>作为供方：</w:t>
      </w:r>
    </w:p>
    <w:p>
      <w:pPr>
        <w:numPr>
          <w:ilvl w:val="1"/>
          <w:numId w:val="1"/>
        </w:numPr>
        <w:spacing w:line="20" w:lineRule="atLeast"/>
        <w:ind w:firstLine="11"/>
      </w:pPr>
      <w:r>
        <w:rPr>
          <w:rFonts w:hint="eastAsia"/>
        </w:rPr>
        <w:t>作业前对登高设备进行检查，并保留检查记录</w:t>
      </w:r>
    </w:p>
    <w:p>
      <w:pPr>
        <w:numPr>
          <w:ilvl w:val="1"/>
          <w:numId w:val="1"/>
        </w:numPr>
        <w:spacing w:line="20" w:lineRule="atLeast"/>
        <w:ind w:firstLine="11"/>
      </w:pPr>
      <w:r>
        <w:rPr>
          <w:rFonts w:hint="eastAsia"/>
        </w:rPr>
        <w:t>向驻场经理提供必要的支持性文件，如使用前的设备检查表，设备检验证书，培训证书或记录</w:t>
      </w:r>
    </w:p>
    <w:p>
      <w:pPr>
        <w:numPr>
          <w:ilvl w:val="1"/>
          <w:numId w:val="1"/>
        </w:numPr>
        <w:spacing w:line="20" w:lineRule="atLeast"/>
        <w:ind w:firstLine="11"/>
      </w:pPr>
      <w:r>
        <w:rPr>
          <w:rFonts w:hint="eastAsia"/>
        </w:rPr>
        <w:t>确保安全设备/个人防护用品适合作业并处于完好状况</w:t>
      </w:r>
    </w:p>
    <w:p>
      <w:pPr>
        <w:numPr>
          <w:ilvl w:val="1"/>
          <w:numId w:val="1"/>
        </w:numPr>
        <w:spacing w:line="20" w:lineRule="atLeast"/>
        <w:ind w:firstLine="11"/>
      </w:pPr>
      <w:r>
        <w:rPr>
          <w:rFonts w:hint="eastAsia"/>
        </w:rPr>
        <w:t>确保所有工作相关工人有资质并得到充分的培训，健康状况适于作业</w:t>
      </w:r>
    </w:p>
    <w:p>
      <w:pPr>
        <w:numPr>
          <w:ilvl w:val="1"/>
          <w:numId w:val="1"/>
        </w:numPr>
        <w:spacing w:line="20" w:lineRule="atLeast"/>
        <w:ind w:firstLine="11"/>
      </w:pPr>
      <w:r>
        <w:rPr>
          <w:rFonts w:hint="eastAsia"/>
        </w:rPr>
        <w:t>确保高空作业符合甲方的安全要求并配合甲方对作业中的不安全发现进行整改</w:t>
      </w:r>
    </w:p>
    <w:p>
      <w:pPr>
        <w:numPr>
          <w:ilvl w:val="1"/>
          <w:numId w:val="1"/>
        </w:numPr>
        <w:spacing w:line="20" w:lineRule="atLeast"/>
        <w:ind w:firstLine="11"/>
      </w:pPr>
      <w:r>
        <w:rPr>
          <w:rFonts w:hint="eastAsia"/>
        </w:rPr>
        <w:t>如果属于作业许可证范围，应该向甲方项目</w:t>
      </w:r>
      <w:r>
        <w:t>部</w:t>
      </w:r>
      <w:r>
        <w:rPr>
          <w:rFonts w:hint="eastAsia"/>
        </w:rPr>
        <w:t>申请许可证</w:t>
      </w:r>
    </w:p>
    <w:p>
      <w:pPr>
        <w:pStyle w:val="32"/>
        <w:spacing w:line="360" w:lineRule="auto"/>
        <w:ind w:left="851"/>
        <w:jc w:val="both"/>
        <w:rPr>
          <w:rFonts w:ascii="Times New Roman" w:hAnsi="Times New Roman"/>
          <w:kern w:val="2"/>
          <w:sz w:val="21"/>
          <w:szCs w:val="24"/>
          <w:lang w:val="en-US" w:eastAsia="zh-CN"/>
        </w:rPr>
      </w:pPr>
      <w:r>
        <w:rPr>
          <w:rFonts w:hint="eastAsia" w:ascii="Times New Roman" w:hAnsi="Times New Roman"/>
          <w:kern w:val="2"/>
          <w:sz w:val="21"/>
          <w:szCs w:val="24"/>
          <w:lang w:val="en-US" w:eastAsia="zh-CN"/>
        </w:rPr>
        <w:t>作业前必须进行风险评估并对接触相关风险的员工进行安全沟通和交底,在风险评估中必须考虑下述问题：</w:t>
      </w:r>
    </w:p>
    <w:p>
      <w:pPr>
        <w:numPr>
          <w:ilvl w:val="1"/>
          <w:numId w:val="1"/>
        </w:numPr>
        <w:spacing w:line="20" w:lineRule="atLeast"/>
        <w:ind w:firstLine="11"/>
      </w:pPr>
      <w:r>
        <w:rPr>
          <w:rFonts w:hint="eastAsia"/>
        </w:rPr>
        <w:t>检查需要高处作业的区域是否安全</w:t>
      </w:r>
    </w:p>
    <w:p>
      <w:pPr>
        <w:numPr>
          <w:ilvl w:val="1"/>
          <w:numId w:val="1"/>
        </w:numPr>
        <w:spacing w:line="20" w:lineRule="atLeast"/>
        <w:ind w:firstLine="11"/>
      </w:pPr>
      <w:r>
        <w:rPr>
          <w:rFonts w:hint="eastAsia"/>
        </w:rPr>
        <w:t>决定适应这项工作和现场条件的具体设备</w:t>
      </w:r>
    </w:p>
    <w:p>
      <w:pPr>
        <w:numPr>
          <w:ilvl w:val="1"/>
          <w:numId w:val="1"/>
        </w:numPr>
        <w:spacing w:line="20" w:lineRule="atLeast"/>
        <w:ind w:firstLine="11"/>
      </w:pPr>
      <w:r>
        <w:rPr>
          <w:rFonts w:hint="eastAsia"/>
        </w:rPr>
        <w:t>检查设备处于良好状态， 确保使用这些安全设备人称职， 并知道他们在做什么。</w:t>
      </w:r>
    </w:p>
    <w:p>
      <w:pPr>
        <w:numPr>
          <w:ilvl w:val="2"/>
          <w:numId w:val="1"/>
        </w:numPr>
        <w:spacing w:line="20" w:lineRule="atLeast"/>
      </w:pPr>
      <w:r>
        <w:rPr>
          <w:rFonts w:hint="eastAsia"/>
        </w:rPr>
        <w:t xml:space="preserve">作业时应将同工作场所相关的其他风险评估中识别出的风险考虑进去，如天气， </w:t>
      </w:r>
      <w:r>
        <w:t xml:space="preserve">  </w:t>
      </w:r>
      <w:r>
        <w:rPr>
          <w:rFonts w:hint="eastAsia"/>
        </w:rPr>
        <w:t>责任人。</w:t>
      </w:r>
    </w:p>
    <w:p>
      <w:pPr>
        <w:numPr>
          <w:ilvl w:val="1"/>
          <w:numId w:val="1"/>
        </w:numPr>
        <w:spacing w:line="20" w:lineRule="atLeast"/>
        <w:ind w:firstLine="11"/>
      </w:pPr>
      <w:r>
        <w:rPr>
          <w:rFonts w:hint="eastAsia"/>
        </w:rPr>
        <w:t>易碎面上作业风险是否得到有效控制</w:t>
      </w:r>
    </w:p>
    <w:p>
      <w:pPr>
        <w:numPr>
          <w:ilvl w:val="1"/>
          <w:numId w:val="1"/>
        </w:numPr>
        <w:spacing w:line="20" w:lineRule="atLeast"/>
        <w:ind w:firstLine="11"/>
      </w:pPr>
      <w:r>
        <w:rPr>
          <w:rFonts w:hint="eastAsia"/>
        </w:rPr>
        <w:t>作业时物体坠落风险是否得到有效控制</w:t>
      </w:r>
    </w:p>
    <w:p>
      <w:pPr>
        <w:pStyle w:val="32"/>
        <w:spacing w:line="360" w:lineRule="auto"/>
        <w:ind w:left="360" w:firstLine="420" w:firstLineChars="200"/>
        <w:jc w:val="both"/>
        <w:rPr>
          <w:rFonts w:ascii="Times New Roman" w:hAnsi="Times New Roman"/>
          <w:kern w:val="2"/>
          <w:sz w:val="21"/>
          <w:szCs w:val="24"/>
          <w:lang w:val="en-US" w:eastAsia="zh-CN"/>
        </w:rPr>
      </w:pPr>
      <w:r>
        <w:rPr>
          <w:rFonts w:hint="eastAsia" w:ascii="Times New Roman" w:hAnsi="Times New Roman"/>
          <w:kern w:val="2"/>
          <w:sz w:val="21"/>
          <w:szCs w:val="24"/>
          <w:lang w:val="en-US" w:eastAsia="zh-CN"/>
        </w:rPr>
        <w:t>作业要求：</w:t>
      </w:r>
    </w:p>
    <w:p>
      <w:pPr>
        <w:numPr>
          <w:ilvl w:val="1"/>
          <w:numId w:val="1"/>
        </w:numPr>
        <w:spacing w:line="20" w:lineRule="atLeast"/>
        <w:ind w:firstLine="11"/>
      </w:pPr>
      <w:r>
        <w:rPr>
          <w:rFonts w:hint="eastAsia"/>
        </w:rPr>
        <w:t>当无可避免需要高处作业时，使用必要的设备或其他措施避免坠落或降低坠落而引起的人身伤害；</w:t>
      </w:r>
    </w:p>
    <w:p>
      <w:pPr>
        <w:numPr>
          <w:ilvl w:val="1"/>
          <w:numId w:val="1"/>
        </w:numPr>
        <w:spacing w:line="20" w:lineRule="atLeast"/>
        <w:ind w:firstLine="11"/>
      </w:pPr>
      <w:r>
        <w:rPr>
          <w:rFonts w:hint="eastAsia"/>
        </w:rPr>
        <w:t>所有设备必须满足材料和组件的规范要求。必须根据规定和制造厂的说明指导使用这些设备；</w:t>
      </w:r>
    </w:p>
    <w:p>
      <w:pPr>
        <w:numPr>
          <w:ilvl w:val="1"/>
          <w:numId w:val="1"/>
        </w:numPr>
        <w:spacing w:line="20" w:lineRule="atLeast"/>
        <w:ind w:firstLine="11"/>
      </w:pPr>
      <w:r>
        <w:rPr>
          <w:rFonts w:hint="eastAsia"/>
        </w:rPr>
        <w:t>使用前必须对安全设备进行检查,存在缺陷的设备应该立即停止使用。检查清单应保留待查；</w:t>
      </w:r>
    </w:p>
    <w:p>
      <w:pPr>
        <w:numPr>
          <w:ilvl w:val="1"/>
          <w:numId w:val="1"/>
        </w:numPr>
        <w:spacing w:line="20" w:lineRule="atLeast"/>
        <w:ind w:firstLine="11"/>
      </w:pPr>
      <w:r>
        <w:rPr>
          <w:rFonts w:hint="eastAsia"/>
        </w:rPr>
        <w:t>所有的工作应该是有计划，有监督和有组织，包括应急反应和施救；</w:t>
      </w:r>
    </w:p>
    <w:p>
      <w:pPr>
        <w:numPr>
          <w:ilvl w:val="1"/>
          <w:numId w:val="1"/>
        </w:numPr>
        <w:spacing w:line="20" w:lineRule="atLeast"/>
        <w:ind w:firstLine="11"/>
      </w:pPr>
      <w:r>
        <w:rPr>
          <w:rFonts w:hint="eastAsia"/>
        </w:rPr>
        <w:t>参与高空作业的人员应该得到相关的培训取得相应的资质同时健康状况适于这项工作；</w:t>
      </w:r>
    </w:p>
    <w:p>
      <w:pPr>
        <w:numPr>
          <w:ilvl w:val="1"/>
          <w:numId w:val="1"/>
        </w:numPr>
        <w:spacing w:line="20" w:lineRule="atLeast"/>
        <w:ind w:firstLine="11"/>
      </w:pPr>
      <w:r>
        <w:rPr>
          <w:rFonts w:hint="eastAsia"/>
        </w:rPr>
        <w:t>确保使用这些设备的人在监督下使用，以使他们可以正确地使用这些设备；</w:t>
      </w:r>
    </w:p>
    <w:p>
      <w:pPr>
        <w:numPr>
          <w:ilvl w:val="1"/>
          <w:numId w:val="1"/>
        </w:numPr>
        <w:spacing w:line="20" w:lineRule="atLeast"/>
        <w:ind w:firstLine="11"/>
      </w:pPr>
      <w:bookmarkStart w:id="0" w:name="OLE_LINK11"/>
      <w:bookmarkStart w:id="1" w:name="OLE_LINK12"/>
      <w:r>
        <w:rPr>
          <w:rFonts w:hint="eastAsia"/>
        </w:rPr>
        <w:t>作业中所使用的工具应该有效固定和连接，防止物体坠落危害</w:t>
      </w:r>
      <w:bookmarkEnd w:id="0"/>
      <w:bookmarkEnd w:id="1"/>
      <w:r>
        <w:rPr>
          <w:rFonts w:hint="eastAsia"/>
        </w:rPr>
        <w:t>；</w:t>
      </w:r>
    </w:p>
    <w:p>
      <w:pPr>
        <w:numPr>
          <w:ilvl w:val="1"/>
          <w:numId w:val="1"/>
        </w:numPr>
        <w:spacing w:line="20" w:lineRule="atLeast"/>
        <w:ind w:firstLine="11"/>
      </w:pPr>
      <w:r>
        <w:rPr>
          <w:rFonts w:hint="eastAsia"/>
        </w:rPr>
        <w:t>登高作业区域应进行适当的隔离，设置必要的安全标志提醒其他人员避免进入作业区域；</w:t>
      </w:r>
    </w:p>
    <w:p>
      <w:pPr>
        <w:numPr>
          <w:ilvl w:val="1"/>
          <w:numId w:val="1"/>
        </w:numPr>
        <w:spacing w:line="20" w:lineRule="atLeast"/>
        <w:ind w:firstLine="11"/>
      </w:pPr>
      <w:r>
        <w:rPr>
          <w:rFonts w:hint="eastAsia"/>
        </w:rPr>
        <w:t>在</w:t>
      </w:r>
      <w:r>
        <w:t>风力</w:t>
      </w:r>
      <w:r>
        <w:rPr>
          <w:rFonts w:hint="eastAsia"/>
        </w:rPr>
        <w:t>大于或等于4级时或者温度</w:t>
      </w:r>
      <w:r>
        <w:t>高于</w:t>
      </w:r>
      <w:r>
        <w:rPr>
          <w:rFonts w:hint="eastAsia"/>
        </w:rPr>
        <w:t>35度</w:t>
      </w:r>
      <w:r>
        <w:t>和低于</w:t>
      </w:r>
      <w:r>
        <w:rPr>
          <w:rFonts w:hint="eastAsia"/>
        </w:rPr>
        <w:t>5度</w:t>
      </w:r>
      <w:r>
        <w:t>时</w:t>
      </w:r>
      <w:r>
        <w:rPr>
          <w:rFonts w:hint="eastAsia"/>
        </w:rPr>
        <w:t>停止</w:t>
      </w:r>
      <w:r>
        <w:t>外墙清洗和维护作业</w:t>
      </w:r>
    </w:p>
    <w:p>
      <w:pPr>
        <w:spacing w:line="20" w:lineRule="atLeast"/>
      </w:pPr>
    </w:p>
    <w:p>
      <w:pPr>
        <w:spacing w:line="360" w:lineRule="auto"/>
        <w:rPr>
          <w:b/>
          <w:sz w:val="28"/>
          <w:szCs w:val="28"/>
          <w:u w:val="single"/>
        </w:rPr>
      </w:pPr>
      <w:r>
        <w:rPr>
          <w:rFonts w:hint="eastAsia"/>
          <w:b/>
          <w:sz w:val="28"/>
          <w:szCs w:val="28"/>
          <w:u w:val="single"/>
        </w:rPr>
        <w:t>动火作业</w:t>
      </w:r>
    </w:p>
    <w:p>
      <w:pPr>
        <w:pStyle w:val="32"/>
        <w:spacing w:line="360" w:lineRule="auto"/>
        <w:ind w:left="360" w:firstLine="420" w:firstLineChars="200"/>
        <w:jc w:val="both"/>
        <w:rPr>
          <w:rFonts w:ascii="Times New Roman" w:hAnsi="Times New Roman"/>
          <w:kern w:val="2"/>
          <w:sz w:val="21"/>
          <w:szCs w:val="24"/>
          <w:lang w:val="en-US" w:eastAsia="zh-CN"/>
        </w:rPr>
      </w:pPr>
      <w:r>
        <w:rPr>
          <w:rFonts w:hint="eastAsia" w:ascii="Times New Roman" w:hAnsi="Times New Roman"/>
          <w:kern w:val="2"/>
          <w:sz w:val="21"/>
          <w:szCs w:val="24"/>
          <w:lang w:val="en-US" w:eastAsia="zh-CN"/>
        </w:rPr>
        <w:t>动火前的准备：</w:t>
      </w:r>
    </w:p>
    <w:p>
      <w:pPr>
        <w:numPr>
          <w:ilvl w:val="1"/>
          <w:numId w:val="1"/>
        </w:numPr>
        <w:spacing w:line="20" w:lineRule="atLeast"/>
        <w:ind w:firstLine="11"/>
      </w:pPr>
      <w:r>
        <w:rPr>
          <w:rFonts w:hint="eastAsia"/>
        </w:rPr>
        <w:t>动火作业许可证应该获得批准。如果在高处动火，还需要办理高空作业许可证；</w:t>
      </w:r>
    </w:p>
    <w:p>
      <w:pPr>
        <w:numPr>
          <w:ilvl w:val="1"/>
          <w:numId w:val="1"/>
        </w:numPr>
        <w:spacing w:line="20" w:lineRule="atLeast"/>
        <w:ind w:firstLine="11"/>
      </w:pPr>
      <w:r>
        <w:rPr>
          <w:rFonts w:hint="eastAsia"/>
        </w:rPr>
        <w:t>动火人员已经清楚了解到作业场所的风险以及应急措施（消防设施和消防通道）；</w:t>
      </w:r>
    </w:p>
    <w:p>
      <w:pPr>
        <w:numPr>
          <w:ilvl w:val="1"/>
          <w:numId w:val="1"/>
        </w:numPr>
        <w:spacing w:line="20" w:lineRule="atLeast"/>
        <w:ind w:firstLine="11"/>
      </w:pPr>
      <w:r>
        <w:rPr>
          <w:rFonts w:hint="eastAsia"/>
        </w:rPr>
        <w:t>动火现场配置了必要的个人劳防用品和充足的消防设备；</w:t>
      </w:r>
    </w:p>
    <w:p>
      <w:pPr>
        <w:numPr>
          <w:ilvl w:val="1"/>
          <w:numId w:val="1"/>
        </w:numPr>
        <w:spacing w:line="20" w:lineRule="atLeast"/>
        <w:ind w:firstLine="11"/>
      </w:pPr>
      <w:r>
        <w:rPr>
          <w:rFonts w:hint="eastAsia"/>
        </w:rPr>
        <w:t>作业场所的易燃易爆物品已经得到清除或有效隔离；</w:t>
      </w:r>
    </w:p>
    <w:p>
      <w:pPr>
        <w:numPr>
          <w:ilvl w:val="1"/>
          <w:numId w:val="1"/>
        </w:numPr>
        <w:spacing w:line="20" w:lineRule="atLeast"/>
        <w:ind w:firstLine="11"/>
      </w:pPr>
      <w:r>
        <w:rPr>
          <w:rFonts w:hint="eastAsia"/>
        </w:rPr>
        <w:t>如果风力达到或超过四级停止登高动火作业，六级应该禁止室外明火作业；</w:t>
      </w:r>
    </w:p>
    <w:p>
      <w:pPr>
        <w:numPr>
          <w:ilvl w:val="1"/>
          <w:numId w:val="1"/>
        </w:numPr>
        <w:spacing w:line="20" w:lineRule="atLeast"/>
        <w:ind w:firstLine="11"/>
      </w:pPr>
      <w:r>
        <w:rPr>
          <w:rFonts w:hint="eastAsia"/>
        </w:rPr>
        <w:t>动火区域应有效隔离并设置醒目安全警示标志，诸如“禁止入内”“动火作业；</w:t>
      </w:r>
    </w:p>
    <w:p>
      <w:pPr>
        <w:spacing w:line="20" w:lineRule="atLeast"/>
        <w:ind w:firstLine="735" w:firstLineChars="350"/>
      </w:pPr>
    </w:p>
    <w:p>
      <w:pPr>
        <w:pStyle w:val="32"/>
        <w:spacing w:line="360" w:lineRule="auto"/>
        <w:ind w:left="360" w:firstLine="420" w:firstLineChars="200"/>
        <w:jc w:val="both"/>
        <w:rPr>
          <w:rFonts w:ascii="Times New Roman" w:hAnsi="Times New Roman"/>
          <w:kern w:val="2"/>
          <w:sz w:val="21"/>
          <w:szCs w:val="24"/>
          <w:lang w:val="en-US" w:eastAsia="zh-CN"/>
        </w:rPr>
      </w:pPr>
      <w:bookmarkStart w:id="2" w:name="_Toc293499212"/>
      <w:bookmarkStart w:id="3" w:name="_Toc293500464"/>
      <w:r>
        <w:rPr>
          <w:rFonts w:hint="eastAsia" w:ascii="Times New Roman" w:hAnsi="Times New Roman"/>
          <w:kern w:val="2"/>
          <w:sz w:val="21"/>
          <w:szCs w:val="24"/>
          <w:lang w:val="en-US" w:eastAsia="zh-CN"/>
        </w:rPr>
        <w:t>动火</w:t>
      </w:r>
      <w:bookmarkEnd w:id="2"/>
      <w:r>
        <w:rPr>
          <w:rFonts w:hint="eastAsia" w:ascii="Times New Roman" w:hAnsi="Times New Roman"/>
          <w:kern w:val="2"/>
          <w:sz w:val="21"/>
          <w:szCs w:val="24"/>
          <w:lang w:val="en-US" w:eastAsia="zh-CN"/>
        </w:rPr>
        <w:t>作业</w:t>
      </w:r>
      <w:bookmarkEnd w:id="3"/>
      <w:r>
        <w:rPr>
          <w:rFonts w:hint="eastAsia" w:ascii="Times New Roman" w:hAnsi="Times New Roman"/>
          <w:kern w:val="2"/>
          <w:sz w:val="21"/>
          <w:szCs w:val="24"/>
          <w:lang w:val="en-US" w:eastAsia="zh-CN"/>
        </w:rPr>
        <w:t>：</w:t>
      </w:r>
    </w:p>
    <w:p>
      <w:pPr>
        <w:numPr>
          <w:ilvl w:val="1"/>
          <w:numId w:val="1"/>
        </w:numPr>
        <w:spacing w:line="20" w:lineRule="atLeast"/>
        <w:ind w:firstLine="11"/>
      </w:pPr>
      <w:r>
        <w:rPr>
          <w:rFonts w:hint="eastAsia"/>
        </w:rPr>
        <w:t>监护人必须全程监督作业进程，当发现动火区域存在火源或者易燃易爆物品未得到清楚或有效隔离时应立即要求停止作业并汇报驻场经理；</w:t>
      </w:r>
    </w:p>
    <w:p>
      <w:pPr>
        <w:numPr>
          <w:ilvl w:val="1"/>
          <w:numId w:val="1"/>
        </w:numPr>
        <w:spacing w:line="20" w:lineRule="atLeast"/>
        <w:ind w:firstLine="11"/>
      </w:pPr>
      <w:r>
        <w:rPr>
          <w:rFonts w:hint="eastAsia"/>
        </w:rPr>
        <w:t>动火人在获得作业许可后，应携带作业许可证并严格按照制定的工作计划进行作业；</w:t>
      </w:r>
    </w:p>
    <w:p>
      <w:pPr>
        <w:numPr>
          <w:ilvl w:val="1"/>
          <w:numId w:val="1"/>
        </w:numPr>
        <w:spacing w:line="20" w:lineRule="atLeast"/>
        <w:ind w:firstLine="11"/>
      </w:pPr>
      <w:r>
        <w:rPr>
          <w:rFonts w:hint="eastAsia"/>
        </w:rPr>
        <w:t>对能够拆卸的管件、机件应在固定并已配置消防措施的电焊间或工作间进行作业；</w:t>
      </w:r>
    </w:p>
    <w:p>
      <w:pPr>
        <w:numPr>
          <w:ilvl w:val="1"/>
          <w:numId w:val="1"/>
        </w:numPr>
        <w:spacing w:line="20" w:lineRule="atLeast"/>
        <w:ind w:firstLine="11"/>
      </w:pPr>
      <w:r>
        <w:rPr>
          <w:rFonts w:hint="eastAsia"/>
        </w:rPr>
        <w:t>高空动火作业除满足登高和动火作业的安全要求外，还应采取措施避免火花溅落引起火灾事故，在火花溅落处安排监护人；</w:t>
      </w:r>
    </w:p>
    <w:p>
      <w:pPr>
        <w:numPr>
          <w:ilvl w:val="1"/>
          <w:numId w:val="1"/>
        </w:numPr>
        <w:spacing w:line="20" w:lineRule="atLeast"/>
        <w:ind w:firstLine="11"/>
      </w:pPr>
      <w:r>
        <w:rPr>
          <w:rFonts w:hint="eastAsia"/>
        </w:rPr>
        <w:t>使用气焊割动火作业时，氧气瓶与乙炔气瓶间距不小于</w:t>
      </w:r>
      <w:r>
        <w:t>5米，二者与动火作业地点均不小于</w:t>
      </w:r>
      <w:r>
        <w:rPr>
          <w:rFonts w:hint="eastAsia"/>
        </w:rPr>
        <w:t>10</w:t>
      </w:r>
      <w:r>
        <w:t>米，并不准在烈日下曝晒</w:t>
      </w:r>
      <w:bookmarkStart w:id="4" w:name="_Toc293499213"/>
      <w:bookmarkStart w:id="5" w:name="_Toc293500465"/>
      <w:r>
        <w:rPr>
          <w:rFonts w:hint="eastAsia"/>
        </w:rPr>
        <w:t>；</w:t>
      </w:r>
    </w:p>
    <w:p>
      <w:pPr>
        <w:spacing w:line="20" w:lineRule="atLeast"/>
        <w:ind w:firstLine="735" w:firstLineChars="350"/>
      </w:pPr>
    </w:p>
    <w:p>
      <w:pPr>
        <w:pStyle w:val="32"/>
        <w:spacing w:line="360" w:lineRule="auto"/>
        <w:ind w:left="360" w:firstLine="420" w:firstLineChars="200"/>
        <w:jc w:val="both"/>
        <w:rPr>
          <w:rFonts w:ascii="Times New Roman" w:hAnsi="Times New Roman"/>
          <w:kern w:val="2"/>
          <w:sz w:val="21"/>
          <w:szCs w:val="24"/>
          <w:lang w:val="en-US" w:eastAsia="zh-CN"/>
        </w:rPr>
      </w:pPr>
      <w:r>
        <w:rPr>
          <w:rFonts w:hint="eastAsia" w:ascii="Times New Roman" w:hAnsi="Times New Roman"/>
          <w:kern w:val="2"/>
          <w:sz w:val="21"/>
          <w:szCs w:val="24"/>
          <w:lang w:val="en-US" w:eastAsia="zh-CN"/>
        </w:rPr>
        <w:t>作业结束</w:t>
      </w:r>
      <w:bookmarkEnd w:id="4"/>
      <w:bookmarkEnd w:id="5"/>
      <w:r>
        <w:rPr>
          <w:rFonts w:hint="eastAsia" w:ascii="Times New Roman" w:hAnsi="Times New Roman"/>
          <w:kern w:val="2"/>
          <w:sz w:val="21"/>
          <w:szCs w:val="24"/>
          <w:lang w:val="en-US" w:eastAsia="zh-CN"/>
        </w:rPr>
        <w:t>：</w:t>
      </w:r>
    </w:p>
    <w:p>
      <w:pPr>
        <w:numPr>
          <w:ilvl w:val="1"/>
          <w:numId w:val="1"/>
        </w:numPr>
        <w:spacing w:line="20" w:lineRule="atLeast"/>
        <w:ind w:firstLine="11"/>
      </w:pPr>
      <w:r>
        <w:rPr>
          <w:rFonts w:hint="eastAsia"/>
        </w:rPr>
        <w:t>动火作业完工后，应消除各种火种，切断与动火有关的电源和气源，动火监护人同动火人共同检查是否存在遗留火种；</w:t>
      </w:r>
    </w:p>
    <w:p>
      <w:pPr>
        <w:numPr>
          <w:ilvl w:val="1"/>
          <w:numId w:val="1"/>
        </w:numPr>
        <w:spacing w:line="20" w:lineRule="atLeast"/>
        <w:ind w:firstLine="11"/>
      </w:pPr>
      <w:r>
        <w:rPr>
          <w:rFonts w:hint="eastAsia"/>
        </w:rPr>
        <w:t>动火监护人应确认无残余火种存在后监护人在许可证作业结束栏签字确认并通知甲方作业结束方可离开作业现场；</w:t>
      </w:r>
    </w:p>
    <w:p>
      <w:pPr>
        <w:spacing w:line="20" w:lineRule="atLeast"/>
        <w:ind w:left="851"/>
      </w:pPr>
    </w:p>
    <w:p>
      <w:pPr>
        <w:spacing w:line="360" w:lineRule="auto"/>
        <w:rPr>
          <w:b/>
          <w:sz w:val="28"/>
          <w:szCs w:val="28"/>
          <w:u w:val="single"/>
        </w:rPr>
      </w:pPr>
      <w:r>
        <w:rPr>
          <w:rFonts w:hint="eastAsia"/>
          <w:b/>
          <w:sz w:val="28"/>
          <w:szCs w:val="28"/>
          <w:u w:val="single"/>
        </w:rPr>
        <w:t>吊装作业</w:t>
      </w:r>
    </w:p>
    <w:p>
      <w:pPr>
        <w:numPr>
          <w:ilvl w:val="1"/>
          <w:numId w:val="1"/>
        </w:numPr>
        <w:spacing w:line="20" w:lineRule="atLeast"/>
        <w:ind w:firstLine="11"/>
      </w:pPr>
      <w:r>
        <w:rPr>
          <w:rFonts w:hint="eastAsia"/>
        </w:rPr>
        <w:t>作业现场必须隔离并悬挂警告标识。</w:t>
      </w:r>
    </w:p>
    <w:p>
      <w:pPr>
        <w:numPr>
          <w:ilvl w:val="1"/>
          <w:numId w:val="1"/>
        </w:numPr>
        <w:spacing w:line="20" w:lineRule="atLeast"/>
        <w:ind w:firstLine="11"/>
      </w:pPr>
      <w:r>
        <w:rPr>
          <w:rFonts w:hint="eastAsia"/>
        </w:rPr>
        <w:t>作业人员应当接受相关培训。</w:t>
      </w:r>
    </w:p>
    <w:p>
      <w:pPr>
        <w:numPr>
          <w:ilvl w:val="1"/>
          <w:numId w:val="1"/>
        </w:numPr>
        <w:spacing w:line="20" w:lineRule="atLeast"/>
        <w:ind w:firstLine="11"/>
      </w:pPr>
      <w:r>
        <w:rPr>
          <w:rFonts w:hint="eastAsia"/>
        </w:rPr>
        <w:t>作业开始前，检查提升设备的部件。</w:t>
      </w:r>
    </w:p>
    <w:p>
      <w:pPr>
        <w:numPr>
          <w:ilvl w:val="1"/>
          <w:numId w:val="1"/>
        </w:numPr>
        <w:spacing w:line="20" w:lineRule="atLeast"/>
        <w:ind w:firstLine="11"/>
      </w:pPr>
      <w:r>
        <w:rPr>
          <w:rFonts w:hint="eastAsia"/>
        </w:rPr>
        <w:t>指派一名人员负责提升作业的管理和协调。</w:t>
      </w:r>
    </w:p>
    <w:p>
      <w:pPr>
        <w:rPr>
          <w:rFonts w:ascii="华文细黑" w:hAnsi="华文细黑" w:eastAsia="华文细黑"/>
        </w:rPr>
      </w:pPr>
    </w:p>
    <w:p>
      <w:pPr>
        <w:spacing w:line="360" w:lineRule="auto"/>
        <w:rPr>
          <w:b/>
          <w:sz w:val="28"/>
          <w:szCs w:val="28"/>
          <w:u w:val="single"/>
        </w:rPr>
      </w:pPr>
      <w:r>
        <w:rPr>
          <w:rFonts w:hint="eastAsia"/>
          <w:b/>
          <w:sz w:val="28"/>
          <w:szCs w:val="28"/>
          <w:u w:val="single"/>
        </w:rPr>
        <w:t>梯子的安全使用</w:t>
      </w:r>
    </w:p>
    <w:p>
      <w:pPr>
        <w:pStyle w:val="32"/>
        <w:spacing w:line="360" w:lineRule="auto"/>
        <w:ind w:left="360" w:firstLine="420" w:firstLineChars="200"/>
        <w:jc w:val="both"/>
        <w:rPr>
          <w:rFonts w:ascii="Times New Roman" w:hAnsi="Times New Roman"/>
          <w:kern w:val="2"/>
          <w:sz w:val="21"/>
          <w:szCs w:val="24"/>
          <w:lang w:val="en-US" w:eastAsia="zh-CN"/>
        </w:rPr>
      </w:pPr>
      <w:r>
        <w:rPr>
          <w:rFonts w:hint="eastAsia" w:ascii="Times New Roman" w:hAnsi="Times New Roman"/>
          <w:kern w:val="2"/>
          <w:sz w:val="21"/>
          <w:szCs w:val="24"/>
          <w:lang w:val="en-US" w:eastAsia="zh-CN"/>
        </w:rPr>
        <w:t>使用前</w:t>
      </w:r>
    </w:p>
    <w:p>
      <w:pPr>
        <w:numPr>
          <w:ilvl w:val="1"/>
          <w:numId w:val="1"/>
        </w:numPr>
        <w:spacing w:line="20" w:lineRule="atLeast"/>
        <w:ind w:firstLine="11"/>
      </w:pPr>
      <w:r>
        <w:rPr>
          <w:rFonts w:hint="eastAsia"/>
        </w:rPr>
        <w:t>梯子只使用在短期和临时的登高作业，不能作为长期工作平台。</w:t>
      </w:r>
    </w:p>
    <w:p>
      <w:pPr>
        <w:numPr>
          <w:ilvl w:val="1"/>
          <w:numId w:val="1"/>
        </w:numPr>
        <w:spacing w:line="20" w:lineRule="atLeast"/>
        <w:ind w:firstLine="11"/>
      </w:pPr>
      <w:r>
        <w:rPr>
          <w:rFonts w:hint="eastAsia"/>
        </w:rPr>
        <w:t>每次使用前检查梯子</w:t>
      </w:r>
    </w:p>
    <w:p>
      <w:pPr>
        <w:numPr>
          <w:ilvl w:val="1"/>
          <w:numId w:val="1"/>
        </w:numPr>
        <w:spacing w:line="20" w:lineRule="atLeast"/>
        <w:ind w:firstLine="11"/>
      </w:pPr>
      <w:r>
        <w:rPr>
          <w:rFonts w:hint="eastAsia"/>
        </w:rPr>
        <w:t>不要使用断裂或有裂纹扶手和横档, 或油脂滑腻的梯子</w:t>
      </w:r>
    </w:p>
    <w:p>
      <w:pPr>
        <w:numPr>
          <w:ilvl w:val="1"/>
          <w:numId w:val="1"/>
        </w:numPr>
        <w:spacing w:line="20" w:lineRule="atLeast"/>
        <w:ind w:firstLine="11"/>
      </w:pPr>
      <w:r>
        <w:rPr>
          <w:rFonts w:hint="eastAsia"/>
        </w:rPr>
        <w:t>梯脚需要安装防滑套（垫），并支撑在一个固定和水平面上。</w:t>
      </w:r>
    </w:p>
    <w:p>
      <w:pPr>
        <w:numPr>
          <w:ilvl w:val="1"/>
          <w:numId w:val="1"/>
        </w:numPr>
        <w:spacing w:line="20" w:lineRule="atLeast"/>
        <w:ind w:firstLine="11"/>
      </w:pPr>
      <w:r>
        <w:rPr>
          <w:rFonts w:hint="eastAsia"/>
        </w:rPr>
        <w:t>不要将工具丢在梯子上</w:t>
      </w:r>
    </w:p>
    <w:p>
      <w:pPr>
        <w:numPr>
          <w:ilvl w:val="1"/>
          <w:numId w:val="1"/>
        </w:numPr>
        <w:spacing w:line="20" w:lineRule="atLeast"/>
        <w:ind w:firstLine="11"/>
      </w:pPr>
      <w:r>
        <w:rPr>
          <w:rFonts w:hint="eastAsia"/>
        </w:rPr>
        <w:t>不要使用凑合的梯子, 不要使用太短的梯子；</w:t>
      </w:r>
    </w:p>
    <w:p>
      <w:pPr>
        <w:numPr>
          <w:ilvl w:val="1"/>
          <w:numId w:val="1"/>
        </w:numPr>
        <w:spacing w:line="20" w:lineRule="atLeast"/>
        <w:ind w:firstLine="11"/>
      </w:pPr>
      <w:r>
        <w:rPr>
          <w:rFonts w:hint="eastAsia"/>
        </w:rPr>
        <w:t>不要使用横档缺失或者有缺陷的梯子</w:t>
      </w:r>
    </w:p>
    <w:p>
      <w:pPr>
        <w:numPr>
          <w:ilvl w:val="1"/>
          <w:numId w:val="1"/>
        </w:numPr>
        <w:spacing w:line="20" w:lineRule="atLeast"/>
        <w:ind w:firstLine="11"/>
      </w:pPr>
      <w:r>
        <w:rPr>
          <w:rFonts w:hint="eastAsia"/>
        </w:rPr>
        <w:t>不要靠在没有锁住或挡住或设置保护的门前使用梯子</w:t>
      </w:r>
    </w:p>
    <w:p>
      <w:pPr>
        <w:numPr>
          <w:ilvl w:val="1"/>
          <w:numId w:val="1"/>
        </w:numPr>
        <w:spacing w:line="20" w:lineRule="atLeast"/>
        <w:ind w:firstLine="11"/>
      </w:pPr>
      <w:r>
        <w:rPr>
          <w:rFonts w:hint="eastAsia"/>
        </w:rPr>
        <w:t>如果梯子部位有油漆/涂料覆盖，谨慎使用。因为裂纹或破裂可能被掩盖。</w:t>
      </w:r>
    </w:p>
    <w:p>
      <w:pPr>
        <w:numPr>
          <w:ilvl w:val="1"/>
          <w:numId w:val="1"/>
        </w:numPr>
        <w:spacing w:line="20" w:lineRule="atLeast"/>
        <w:ind w:firstLine="11"/>
      </w:pPr>
      <w:r>
        <w:rPr>
          <w:rFonts w:hint="eastAsia"/>
        </w:rPr>
        <w:t>不要用低横档支撑或用上横档悬挂梯子</w:t>
      </w:r>
    </w:p>
    <w:p>
      <w:pPr>
        <w:numPr>
          <w:ilvl w:val="1"/>
          <w:numId w:val="1"/>
        </w:numPr>
        <w:spacing w:line="20" w:lineRule="atLeast"/>
        <w:ind w:firstLine="11"/>
      </w:pPr>
      <w:r>
        <w:rPr>
          <w:rFonts w:hint="eastAsia"/>
        </w:rPr>
        <w:t>当梯子上有人时千万不要在梯子下行走</w:t>
      </w:r>
    </w:p>
    <w:p>
      <w:pPr>
        <w:numPr>
          <w:ilvl w:val="1"/>
          <w:numId w:val="1"/>
        </w:numPr>
        <w:spacing w:line="20" w:lineRule="atLeast"/>
        <w:ind w:firstLine="11"/>
      </w:pPr>
      <w:r>
        <w:rPr>
          <w:rFonts w:hint="eastAsia"/>
        </w:rPr>
        <w:t>风大时不要在梯子上工作</w:t>
      </w:r>
    </w:p>
    <w:p>
      <w:pPr>
        <w:spacing w:line="300" w:lineRule="exact"/>
        <w:rPr>
          <w:rFonts w:ascii="华文细黑" w:hAnsi="华文细黑" w:eastAsia="华文细黑"/>
          <w:sz w:val="22"/>
        </w:rPr>
      </w:pPr>
    </w:p>
    <w:p>
      <w:pPr>
        <w:pStyle w:val="32"/>
        <w:spacing w:line="360" w:lineRule="auto"/>
        <w:ind w:left="360" w:firstLine="420" w:firstLineChars="200"/>
        <w:jc w:val="both"/>
        <w:rPr>
          <w:rFonts w:ascii="Times New Roman" w:hAnsi="Times New Roman"/>
          <w:kern w:val="2"/>
          <w:sz w:val="21"/>
          <w:szCs w:val="24"/>
          <w:lang w:val="en-US" w:eastAsia="zh-CN"/>
        </w:rPr>
      </w:pPr>
      <w:r>
        <w:rPr>
          <w:rFonts w:hint="eastAsia" w:ascii="Times New Roman" w:hAnsi="Times New Roman"/>
          <w:kern w:val="2"/>
          <w:sz w:val="21"/>
          <w:szCs w:val="24"/>
          <w:lang w:val="en-US" w:eastAsia="zh-CN"/>
        </w:rPr>
        <w:t xml:space="preserve"> 使用中</w:t>
      </w:r>
    </w:p>
    <w:p>
      <w:pPr>
        <w:numPr>
          <w:ilvl w:val="1"/>
          <w:numId w:val="1"/>
        </w:numPr>
        <w:spacing w:line="20" w:lineRule="atLeast"/>
        <w:ind w:firstLine="11"/>
      </w:pPr>
      <w:r>
        <w:rPr>
          <w:rFonts w:hint="eastAsia"/>
        </w:rPr>
        <w:t>当在梯子上工作时, 保持双脚在梯子横档, 臀部和双肩要在梯子的侧板之间；</w:t>
      </w:r>
    </w:p>
    <w:p>
      <w:pPr>
        <w:numPr>
          <w:ilvl w:val="1"/>
          <w:numId w:val="1"/>
        </w:numPr>
        <w:spacing w:line="20" w:lineRule="atLeast"/>
        <w:ind w:firstLine="11"/>
      </w:pPr>
      <w:r>
        <w:rPr>
          <w:rFonts w:hint="eastAsia"/>
        </w:rPr>
        <w:t>直梯必须伸长到离开梯子登陆点或用梯人必须站立的最高梯蹬以上至少1米， 除非有一个能够提供等同支撑的适当手把；</w:t>
      </w:r>
    </w:p>
    <w:p>
      <w:pPr>
        <w:numPr>
          <w:ilvl w:val="1"/>
          <w:numId w:val="1"/>
        </w:numPr>
        <w:spacing w:line="20" w:lineRule="atLeast"/>
        <w:ind w:firstLine="11"/>
      </w:pPr>
      <w:r>
        <w:rPr>
          <w:rFonts w:hint="eastAsia"/>
        </w:rPr>
        <w:t>直梯置放的角度要适当, 理想地是与水平面成</w:t>
      </w:r>
      <w:r>
        <w:t>75°</w:t>
      </w:r>
      <w:r>
        <w:rPr>
          <w:rFonts w:hint="eastAsia"/>
        </w:rPr>
        <w:t>, 即大约每4米高大约斜出1米。</w:t>
      </w:r>
      <w:r>
        <w:t xml:space="preserve"> </w:t>
      </w:r>
      <w:r>
        <w:rPr>
          <w:rFonts w:hint="eastAsia"/>
        </w:rPr>
        <w:t>当爬上或下梯时用梯人应面朝梯子；</w:t>
      </w:r>
    </w:p>
    <w:p>
      <w:pPr>
        <w:numPr>
          <w:ilvl w:val="1"/>
          <w:numId w:val="1"/>
        </w:numPr>
        <w:spacing w:line="20" w:lineRule="atLeast"/>
        <w:ind w:firstLine="11"/>
      </w:pPr>
      <w:r>
        <w:rPr>
          <w:rFonts w:hint="eastAsia"/>
        </w:rPr>
        <w:t>当在梯子上工作时, 应站在支撑顶点上以下的3个横档上；</w:t>
      </w:r>
    </w:p>
    <w:p>
      <w:pPr>
        <w:numPr>
          <w:ilvl w:val="1"/>
          <w:numId w:val="1"/>
        </w:numPr>
        <w:spacing w:line="20" w:lineRule="atLeast"/>
        <w:ind w:firstLine="11"/>
      </w:pPr>
      <w:r>
        <w:rPr>
          <w:rFonts w:hint="eastAsia"/>
        </w:rPr>
        <w:t>人</w:t>
      </w:r>
      <w:r>
        <w:t>字</w:t>
      </w:r>
      <w:r>
        <w:rPr>
          <w:rFonts w:hint="eastAsia"/>
        </w:rPr>
        <w:t>梯使用时应将梯子拉伸到最开范围。保护人字梯不受桅杆， 链或线的影响；</w:t>
      </w:r>
    </w:p>
    <w:p>
      <w:pPr>
        <w:numPr>
          <w:ilvl w:val="1"/>
          <w:numId w:val="1"/>
        </w:numPr>
        <w:spacing w:line="20" w:lineRule="atLeast"/>
        <w:ind w:firstLine="11"/>
      </w:pPr>
      <w:r>
        <w:rPr>
          <w:rFonts w:hint="eastAsia"/>
        </w:rPr>
        <w:t>不能使用蹬梯的顶部作为脚部支撑， 除非梯子顶部延伸带手把；</w:t>
      </w:r>
    </w:p>
    <w:p>
      <w:pPr>
        <w:numPr>
          <w:ilvl w:val="1"/>
          <w:numId w:val="1"/>
        </w:numPr>
        <w:spacing w:line="20" w:lineRule="atLeast"/>
        <w:ind w:firstLine="11"/>
      </w:pPr>
      <w:r>
        <w:rPr>
          <w:rFonts w:hint="eastAsia"/>
        </w:rPr>
        <w:t>不能在顶部平台进行工作， 也不能俯顶工作伸得过长；</w:t>
      </w:r>
    </w:p>
    <w:p>
      <w:pPr>
        <w:numPr>
          <w:ilvl w:val="1"/>
          <w:numId w:val="1"/>
        </w:numPr>
        <w:spacing w:line="20" w:lineRule="atLeast"/>
        <w:ind w:firstLine="11"/>
      </w:pPr>
      <w:r>
        <w:rPr>
          <w:rFonts w:hint="eastAsia"/>
        </w:rPr>
        <w:t>为确包梯子不滑，应尽可能固定梯子或安排人员在底部扶梯。扶梯人应面朝梯子, 双手分别抓住梯子每面侧板, 一只脚放在底脚蹬上，防止梯子滑动或落下；</w:t>
      </w:r>
    </w:p>
    <w:p>
      <w:pPr>
        <w:numPr>
          <w:ilvl w:val="1"/>
          <w:numId w:val="1"/>
        </w:numPr>
        <w:spacing w:line="20" w:lineRule="atLeast"/>
        <w:ind w:firstLine="11"/>
      </w:pPr>
      <w:r>
        <w:rPr>
          <w:rFonts w:hint="eastAsia"/>
        </w:rPr>
        <w:t>如果胳膊够不着工作位置, 重新给梯子定位；</w:t>
      </w:r>
    </w:p>
    <w:p>
      <w:pPr>
        <w:numPr>
          <w:ilvl w:val="1"/>
          <w:numId w:val="1"/>
        </w:numPr>
        <w:spacing w:line="20" w:lineRule="atLeast"/>
        <w:ind w:firstLine="11"/>
      </w:pPr>
      <w:r>
        <w:rPr>
          <w:rFonts w:hint="eastAsia"/>
        </w:rPr>
        <w:t>梯子上一次只能站一个人；</w:t>
      </w:r>
    </w:p>
    <w:p>
      <w:pPr>
        <w:numPr>
          <w:ilvl w:val="1"/>
          <w:numId w:val="1"/>
        </w:numPr>
        <w:spacing w:line="20" w:lineRule="atLeast"/>
        <w:ind w:firstLine="11"/>
      </w:pPr>
      <w:r>
        <w:rPr>
          <w:rFonts w:hint="eastAsia"/>
        </w:rPr>
        <w:t>当在靠近电源线或裸电气接头或当操作或移动梯子时梯子可能与它们接触的情况下仅能使用非导电梯子；</w:t>
      </w:r>
    </w:p>
    <w:p>
      <w:pPr>
        <w:numPr>
          <w:ilvl w:val="1"/>
          <w:numId w:val="1"/>
        </w:numPr>
        <w:spacing w:line="20" w:lineRule="atLeast"/>
        <w:ind w:firstLine="11"/>
      </w:pPr>
      <w:r>
        <w:rPr>
          <w:rFonts w:hint="eastAsia"/>
        </w:rPr>
        <w:t>当上或下梯子时总要面对梯子。 双手应无东西,牢固抓住梯子；</w:t>
      </w:r>
    </w:p>
    <w:p>
      <w:pPr>
        <w:numPr>
          <w:ilvl w:val="1"/>
          <w:numId w:val="1"/>
        </w:numPr>
        <w:spacing w:line="20" w:lineRule="atLeast"/>
        <w:ind w:firstLine="11"/>
      </w:pPr>
      <w:r>
        <w:rPr>
          <w:rFonts w:hint="eastAsia"/>
        </w:rPr>
        <w:t>不要手持工具爬梯子, 工具应放在拴在皮带上的工具袋内或用绳子升起或降下 (确保在升起或降低工具期间无人站在工具下)；</w:t>
      </w:r>
    </w:p>
    <w:p>
      <w:pPr>
        <w:numPr>
          <w:ilvl w:val="1"/>
          <w:numId w:val="1"/>
        </w:numPr>
        <w:spacing w:line="20" w:lineRule="atLeast"/>
        <w:ind w:firstLine="11"/>
      </w:pPr>
      <w:r>
        <w:rPr>
          <w:rFonts w:hint="eastAsia"/>
        </w:rPr>
        <w:t>移动升降梯在使用时锁死所有的轮子；</w:t>
      </w:r>
    </w:p>
    <w:p>
      <w:pPr>
        <w:numPr>
          <w:ilvl w:val="1"/>
          <w:numId w:val="1"/>
        </w:numPr>
        <w:spacing w:line="20" w:lineRule="atLeast"/>
        <w:ind w:firstLine="11"/>
      </w:pPr>
      <w:r>
        <w:rPr>
          <w:rFonts w:hint="eastAsia"/>
        </w:rPr>
        <w:t>在移动升降平台上作业应放下保护杆；</w:t>
      </w:r>
    </w:p>
    <w:p>
      <w:pPr>
        <w:spacing w:line="360" w:lineRule="auto"/>
        <w:rPr>
          <w:b/>
          <w:sz w:val="28"/>
          <w:szCs w:val="28"/>
          <w:u w:val="single"/>
        </w:rPr>
      </w:pPr>
      <w:r>
        <w:rPr>
          <w:rFonts w:hint="eastAsia"/>
          <w:b/>
          <w:sz w:val="28"/>
          <w:szCs w:val="28"/>
          <w:u w:val="single"/>
        </w:rPr>
        <w:t>受限空间</w:t>
      </w:r>
    </w:p>
    <w:p>
      <w:pPr>
        <w:numPr>
          <w:ilvl w:val="1"/>
          <w:numId w:val="1"/>
        </w:numPr>
        <w:spacing w:line="20" w:lineRule="atLeast"/>
        <w:ind w:firstLine="11"/>
      </w:pPr>
      <w:r>
        <w:t>任何在</w:t>
      </w:r>
      <w:r>
        <w:rPr>
          <w:rFonts w:hint="eastAsia"/>
        </w:rPr>
        <w:t>可能存有有毒有害、易燃易爆气体和氧气不足或超标的受限空间</w:t>
      </w:r>
      <w:r>
        <w:t>进行的工作，必须</w:t>
      </w:r>
      <w:r>
        <w:rPr>
          <w:rFonts w:hint="eastAsia"/>
        </w:rPr>
        <w:t>申请作业许可证并</w:t>
      </w:r>
      <w:r>
        <w:t>提前进行气体检测</w:t>
      </w:r>
      <w:r>
        <w:rPr>
          <w:rFonts w:hint="eastAsia"/>
        </w:rPr>
        <w:t>，</w:t>
      </w:r>
      <w:r>
        <w:t>保证有足够的氧气（19.5%和23.5%之间）,有害气体和可燃性气体</w:t>
      </w:r>
      <w:r>
        <w:rPr>
          <w:rFonts w:hint="eastAsia"/>
        </w:rPr>
        <w:t>在</w:t>
      </w:r>
      <w:r>
        <w:t>安全范围以内。</w:t>
      </w:r>
    </w:p>
    <w:p>
      <w:pPr>
        <w:numPr>
          <w:ilvl w:val="1"/>
          <w:numId w:val="1"/>
        </w:numPr>
        <w:spacing w:line="20" w:lineRule="atLeast"/>
        <w:ind w:firstLine="11"/>
      </w:pPr>
      <w:r>
        <w:rPr>
          <w:rFonts w:hint="eastAsia"/>
        </w:rPr>
        <w:t>气体检测必须由具备资质能力和授权备案的人员进行。</w:t>
      </w:r>
    </w:p>
    <w:p>
      <w:pPr>
        <w:numPr>
          <w:ilvl w:val="1"/>
          <w:numId w:val="1"/>
        </w:numPr>
        <w:spacing w:line="20" w:lineRule="atLeast"/>
        <w:ind w:firstLine="11"/>
      </w:pPr>
      <w:r>
        <w:rPr>
          <w:rFonts w:hint="eastAsia"/>
        </w:rPr>
        <w:t>供方</w:t>
      </w:r>
      <w:r>
        <w:t>需配备合格气体检测设备</w:t>
      </w:r>
      <w:r>
        <w:rPr>
          <w:rFonts w:hint="eastAsia"/>
        </w:rPr>
        <w:t>；</w:t>
      </w:r>
    </w:p>
    <w:p>
      <w:pPr>
        <w:numPr>
          <w:ilvl w:val="1"/>
          <w:numId w:val="1"/>
        </w:numPr>
        <w:spacing w:line="20" w:lineRule="atLeast"/>
        <w:ind w:firstLine="11"/>
      </w:pPr>
      <w:r>
        <w:rPr>
          <w:rFonts w:hint="eastAsia"/>
        </w:rPr>
        <w:t>受限空间</w:t>
      </w:r>
      <w:r>
        <w:t>最初检测合格后，在工作中还应定时进行检测以确保空气质量</w:t>
      </w:r>
      <w:r>
        <w:rPr>
          <w:rFonts w:hint="eastAsia"/>
        </w:rPr>
        <w:t>，所有的检测数据和结果必须在许可证内进行登记记录，许可证需要现场存放以便检查</w:t>
      </w:r>
      <w:r>
        <w:t>。</w:t>
      </w:r>
    </w:p>
    <w:p>
      <w:pPr>
        <w:numPr>
          <w:ilvl w:val="1"/>
          <w:numId w:val="1"/>
        </w:numPr>
        <w:spacing w:line="20" w:lineRule="atLeast"/>
        <w:ind w:firstLine="11"/>
      </w:pPr>
      <w:r>
        <w:rPr>
          <w:rFonts w:hint="eastAsia"/>
        </w:rPr>
        <w:t>进行气体检测前应当进行必要的自然或机械通风，采取机械通风的需要使用防爆型设备，严禁使用纯氧和压缩空气进行通风。</w:t>
      </w:r>
    </w:p>
    <w:p>
      <w:pPr>
        <w:numPr>
          <w:ilvl w:val="1"/>
          <w:numId w:val="1"/>
        </w:numPr>
        <w:spacing w:line="20" w:lineRule="atLeast"/>
        <w:ind w:firstLine="11"/>
      </w:pPr>
      <w:r>
        <w:rPr>
          <w:rFonts w:hint="eastAsia"/>
        </w:rPr>
        <w:t>受限空间作业必须配备专职的受限空间监护人，监护人经过培训和考核，了解受限空间的管理安全要求，控制进出人员和设备，熟悉应急处置响应程序。</w:t>
      </w:r>
    </w:p>
    <w:p>
      <w:pPr>
        <w:numPr>
          <w:ilvl w:val="1"/>
          <w:numId w:val="1"/>
        </w:numPr>
        <w:spacing w:line="20" w:lineRule="atLeast"/>
        <w:ind w:firstLine="11"/>
      </w:pPr>
      <w:r>
        <w:t>当</w:t>
      </w:r>
      <w:r>
        <w:rPr>
          <w:rFonts w:hint="eastAsia"/>
        </w:rPr>
        <w:t>在受限空间中</w:t>
      </w:r>
      <w:r>
        <w:t>发现</w:t>
      </w:r>
      <w:r>
        <w:rPr>
          <w:rFonts w:hint="eastAsia"/>
        </w:rPr>
        <w:t>气体</w:t>
      </w:r>
      <w:r>
        <w:t>检测没有达到安全标准时，任何人不得进入，直至完全通风换气，经过再次气体检测合格才能进入</w:t>
      </w:r>
      <w:r>
        <w:rPr>
          <w:rFonts w:hint="eastAsia"/>
        </w:rPr>
        <w:t>；</w:t>
      </w:r>
    </w:p>
    <w:p>
      <w:pPr>
        <w:numPr>
          <w:ilvl w:val="1"/>
          <w:numId w:val="1"/>
        </w:numPr>
        <w:spacing w:line="20" w:lineRule="atLeast"/>
        <w:ind w:firstLine="11"/>
      </w:pPr>
      <w:r>
        <w:rPr>
          <w:rFonts w:hint="eastAsia"/>
        </w:rPr>
        <w:t>对于环境条件（如受限空间内的电焊作业、清淤作业、清洗作业、喷漆作业等可能造成氧气含量、有害气体含量和易燃易爆气体或颗粒物）存在变化的受限空间作业，需要使用检测仪时刻进行检测，检测仪需要具备防爆、声光报警和震动功能。</w:t>
      </w:r>
    </w:p>
    <w:p>
      <w:pPr>
        <w:numPr>
          <w:ilvl w:val="1"/>
          <w:numId w:val="1"/>
        </w:numPr>
        <w:spacing w:line="20" w:lineRule="atLeast"/>
        <w:ind w:firstLine="11"/>
      </w:pPr>
      <w:r>
        <w:rPr>
          <w:rFonts w:hint="eastAsia"/>
        </w:rPr>
        <w:t>应做好事故应急救援准备；</w:t>
      </w:r>
    </w:p>
    <w:p>
      <w:pPr>
        <w:numPr>
          <w:ilvl w:val="1"/>
          <w:numId w:val="1"/>
        </w:numPr>
        <w:spacing w:line="20" w:lineRule="atLeast"/>
        <w:ind w:firstLine="11"/>
      </w:pPr>
      <w:r>
        <w:rPr>
          <w:rFonts w:hint="eastAsia"/>
        </w:rPr>
        <w:t xml:space="preserve">受限空间内出现人员意外晕倒和触电等意外情况时，严禁进入盲目施救，监护人应当立即向应急团队进行汇报，保护受限空间，现场采取一切安全可行的措施如增加或加强空间通风、持续监测、使用安全绳将人员拉出等抢救人员，直至专业救援人员达到。 </w:t>
      </w:r>
    </w:p>
    <w:p>
      <w:pPr>
        <w:spacing w:line="20" w:lineRule="atLeast"/>
        <w:ind w:left="851"/>
      </w:pPr>
    </w:p>
    <w:p>
      <w:pPr>
        <w:spacing w:line="360" w:lineRule="auto"/>
        <w:rPr>
          <w:b/>
          <w:sz w:val="28"/>
          <w:szCs w:val="28"/>
          <w:u w:val="single"/>
        </w:rPr>
      </w:pPr>
      <w:r>
        <w:rPr>
          <w:b/>
          <w:sz w:val="28"/>
          <w:szCs w:val="28"/>
          <w:u w:val="single"/>
        </w:rPr>
        <w:t>环境保护</w:t>
      </w:r>
      <w:r>
        <w:rPr>
          <w:rFonts w:hint="eastAsia"/>
          <w:b/>
          <w:sz w:val="28"/>
          <w:szCs w:val="28"/>
          <w:u w:val="single"/>
        </w:rPr>
        <w:t>与化学品使用</w:t>
      </w:r>
    </w:p>
    <w:p>
      <w:pPr>
        <w:numPr>
          <w:ilvl w:val="1"/>
          <w:numId w:val="1"/>
        </w:numPr>
        <w:spacing w:line="20" w:lineRule="atLeast"/>
        <w:ind w:firstLine="11"/>
      </w:pPr>
      <w:r>
        <w:t>任何有毒、有害物质，油类，化学品，</w:t>
      </w:r>
      <w:r>
        <w:rPr>
          <w:rFonts w:hint="eastAsia"/>
        </w:rPr>
        <w:t>工业</w:t>
      </w:r>
      <w:r>
        <w:t>废水</w:t>
      </w:r>
      <w:r>
        <w:rPr>
          <w:rFonts w:hint="eastAsia"/>
        </w:rPr>
        <w:t>等污染物不得排入雨水和生活污水管道</w:t>
      </w:r>
      <w:r>
        <w:t>，生活污水及其它污染物等绝不能排入雨水管道，地井或污染地表土</w:t>
      </w:r>
      <w:r>
        <w:rPr>
          <w:rFonts w:hint="eastAsia"/>
        </w:rPr>
        <w:t>；</w:t>
      </w:r>
    </w:p>
    <w:p>
      <w:pPr>
        <w:numPr>
          <w:ilvl w:val="1"/>
          <w:numId w:val="1"/>
        </w:numPr>
        <w:spacing w:line="20" w:lineRule="atLeast"/>
        <w:ind w:firstLine="11"/>
      </w:pPr>
      <w:r>
        <w:t>任何</w:t>
      </w:r>
      <w:r>
        <w:rPr>
          <w:rFonts w:hint="eastAsia"/>
        </w:rPr>
        <w:t>化学废弃物</w:t>
      </w:r>
      <w:r>
        <w:t>要暂存在帖有标签的合格容器</w:t>
      </w:r>
      <w:r>
        <w:rPr>
          <w:rFonts w:hint="eastAsia"/>
        </w:rPr>
        <w:t>或限定的区域中</w:t>
      </w:r>
      <w:r>
        <w:t>，并由</w:t>
      </w:r>
      <w:r>
        <w:rPr>
          <w:rFonts w:hint="eastAsia"/>
        </w:rPr>
        <w:t>供方</w:t>
      </w:r>
      <w:r>
        <w:t>当天带出，合法处置</w:t>
      </w:r>
      <w:r>
        <w:rPr>
          <w:rFonts w:hint="eastAsia"/>
        </w:rPr>
        <w:t>；</w:t>
      </w:r>
    </w:p>
    <w:p>
      <w:pPr>
        <w:numPr>
          <w:ilvl w:val="1"/>
          <w:numId w:val="1"/>
        </w:numPr>
        <w:spacing w:line="20" w:lineRule="atLeast"/>
        <w:ind w:firstLine="11"/>
      </w:pPr>
      <w:r>
        <w:rPr>
          <w:rFonts w:hint="eastAsia"/>
        </w:rPr>
        <w:t>供方</w:t>
      </w:r>
      <w:r>
        <w:t>在工作之前应向</w:t>
      </w:r>
      <w:r>
        <w:rPr>
          <w:rFonts w:hint="eastAsia"/>
        </w:rPr>
        <w:t>甲方</w:t>
      </w:r>
      <w:r>
        <w:t>项目负责人通报所需使用的化学品种类和用量，并</w:t>
      </w:r>
    </w:p>
    <w:p>
      <w:pPr>
        <w:numPr>
          <w:ilvl w:val="1"/>
          <w:numId w:val="1"/>
        </w:numPr>
        <w:spacing w:line="20" w:lineRule="atLeast"/>
        <w:ind w:firstLine="11"/>
      </w:pPr>
      <w:r>
        <w:t>应提供相应的物料安全数据清单，由</w:t>
      </w:r>
      <w:r>
        <w:rPr>
          <w:rFonts w:hint="eastAsia"/>
        </w:rPr>
        <w:t>甲方</w:t>
      </w:r>
      <w:r>
        <w:t>人员批准后方可使用</w:t>
      </w:r>
      <w:r>
        <w:rPr>
          <w:rFonts w:hint="eastAsia"/>
        </w:rPr>
        <w:t>；</w:t>
      </w:r>
    </w:p>
    <w:p>
      <w:pPr>
        <w:numPr>
          <w:ilvl w:val="1"/>
          <w:numId w:val="1"/>
        </w:numPr>
        <w:spacing w:line="20" w:lineRule="atLeast"/>
        <w:ind w:firstLine="11"/>
      </w:pPr>
      <w:r>
        <w:rPr>
          <w:rFonts w:hint="eastAsia"/>
        </w:rPr>
        <w:t>原则不允许供方在项目中存储易燃易爆和有毒化学品。若作业确需存储化学品，应存放最小使用量并获得甲方项目批准，同时确保化学品的存储在安全，通风，温度适宜的专用地点，并做好防泄漏和消防应急准备措施；</w:t>
      </w:r>
    </w:p>
    <w:p>
      <w:pPr>
        <w:numPr>
          <w:ilvl w:val="1"/>
          <w:numId w:val="1"/>
        </w:numPr>
        <w:spacing w:line="20" w:lineRule="atLeast"/>
        <w:ind w:firstLine="11"/>
      </w:pPr>
      <w:r>
        <w:t>在进行草坪维护时，应使用对环境及土壤无污染的杀虫剂/农药/肥料</w:t>
      </w:r>
      <w:r>
        <w:rPr>
          <w:rFonts w:hint="eastAsia"/>
        </w:rPr>
        <w:t>，作业完成后由供方带出合法处置；</w:t>
      </w:r>
    </w:p>
    <w:p>
      <w:pPr>
        <w:numPr>
          <w:ilvl w:val="1"/>
          <w:numId w:val="1"/>
        </w:numPr>
        <w:spacing w:line="20" w:lineRule="atLeast"/>
        <w:ind w:firstLine="11"/>
      </w:pPr>
      <w:r>
        <w:t>禁止使用任何</w:t>
      </w:r>
      <w:r>
        <w:rPr>
          <w:rFonts w:hint="eastAsia"/>
        </w:rPr>
        <w:t>含有</w:t>
      </w:r>
      <w:r>
        <w:rPr>
          <w:b/>
          <w:u w:val="single"/>
        </w:rPr>
        <w:t>石棉材质</w:t>
      </w:r>
      <w:r>
        <w:t>的材料</w:t>
      </w:r>
      <w:r>
        <w:rPr>
          <w:rFonts w:hint="eastAsia"/>
        </w:rPr>
        <w:t>；</w:t>
      </w:r>
    </w:p>
    <w:p>
      <w:pPr>
        <w:spacing w:line="20" w:lineRule="atLeast"/>
        <w:ind w:left="840"/>
      </w:pPr>
    </w:p>
    <w:p>
      <w:pPr>
        <w:spacing w:line="300" w:lineRule="exact"/>
        <w:rPr>
          <w:rFonts w:ascii="宋体" w:hAnsi="宋体"/>
        </w:rPr>
      </w:pPr>
      <w:r>
        <w:rPr>
          <w:rFonts w:hint="eastAsia" w:ascii="宋体" w:hAnsi="宋体"/>
        </w:rPr>
        <w:t>若所承担的作业在以上安全作业要求中未列明，可以向项目管理处进行询问。</w:t>
      </w:r>
    </w:p>
    <w:p>
      <w:pPr>
        <w:spacing w:line="300" w:lineRule="exact"/>
        <w:ind w:left="840"/>
      </w:pPr>
    </w:p>
    <w:p>
      <w:pPr>
        <w:spacing w:line="20" w:lineRule="atLeast"/>
        <w:rPr>
          <w:rFonts w:ascii="华文细黑" w:hAnsi="华文细黑" w:eastAsia="华文细黑"/>
        </w:rPr>
      </w:pPr>
    </w:p>
    <w:p>
      <w:pPr>
        <w:rPr>
          <w:rFonts w:ascii="宋体" w:hAnsi="宋体"/>
        </w:rPr>
      </w:pPr>
      <w:r>
        <w:rPr>
          <w:rFonts w:hint="eastAsia" w:ascii="宋体" w:hAnsi="宋体"/>
        </w:rPr>
        <w:t>兹证实已收到且仔细阅读了以上每项条款，本司保证在为项目提供服务时严格遵守各项环保，职业健康与安全管理制度，并确保各项作业安全高效完成。</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u w:val="single"/>
        </w:rPr>
      </w:pPr>
      <w:r>
        <w:rPr>
          <w:rFonts w:hint="eastAsia" w:ascii="宋体" w:hAnsi="宋体"/>
        </w:rPr>
        <w:t xml:space="preserve">                                      供方：</w:t>
      </w:r>
      <w:r>
        <w:rPr>
          <w:rFonts w:hint="eastAsia" w:ascii="宋体" w:hAnsi="宋体"/>
          <w:u w:val="single"/>
          <w:lang w:eastAsia="zh-CN"/>
        </w:rPr>
        <w:t>北京三汇能环科技发展有限公司</w:t>
      </w:r>
    </w:p>
    <w:p>
      <w:pPr>
        <w:rPr>
          <w:rFonts w:ascii="宋体" w:hAnsi="宋体"/>
          <w:u w:val="single"/>
        </w:rPr>
      </w:pPr>
    </w:p>
    <w:p>
      <w:pPr>
        <w:rPr>
          <w:rFonts w:hint="default" w:ascii="宋体" w:hAnsi="宋体"/>
          <w:lang w:val="en-US"/>
        </w:rPr>
      </w:pPr>
      <w:r>
        <w:rPr>
          <w:rFonts w:hint="eastAsia" w:ascii="宋体" w:hAnsi="宋体"/>
        </w:rPr>
        <w:t xml:space="preserve">                                      日期：</w:t>
      </w:r>
      <w:r>
        <w:rPr>
          <w:rFonts w:hint="eastAsia" w:ascii="宋体" w:hAnsi="宋体"/>
          <w:u w:val="single"/>
          <w:lang w:val="en-US" w:eastAsia="zh-CN"/>
        </w:rPr>
        <w:t xml:space="preserve"> 2022年6月29日           </w:t>
      </w:r>
    </w:p>
    <w:p>
      <w:pPr>
        <w:spacing w:line="360" w:lineRule="auto"/>
      </w:pPr>
    </w:p>
    <w:p>
      <w:pPr>
        <w:spacing w:line="360" w:lineRule="auto"/>
        <w:rPr>
          <w:rFonts w:ascii="宋体"/>
          <w:b/>
        </w:rPr>
      </w:pPr>
    </w:p>
    <w:p>
      <w:pPr>
        <w:spacing w:line="360" w:lineRule="auto"/>
        <w:rPr>
          <w:rFonts w:ascii="宋体"/>
          <w:b/>
        </w:rPr>
      </w:pPr>
    </w:p>
    <w:p>
      <w:pPr>
        <w:spacing w:line="360" w:lineRule="auto"/>
        <w:rPr>
          <w:rFonts w:ascii="宋体"/>
          <w:b/>
        </w:rPr>
      </w:pPr>
    </w:p>
    <w:p>
      <w:pPr>
        <w:spacing w:line="360" w:lineRule="auto"/>
        <w:rPr>
          <w:rFonts w:ascii="宋体"/>
          <w:b/>
        </w:rPr>
      </w:pPr>
    </w:p>
    <w:p>
      <w:pPr>
        <w:spacing w:line="360" w:lineRule="auto"/>
        <w:rPr>
          <w:rFonts w:ascii="宋体"/>
          <w:b/>
        </w:rPr>
      </w:pPr>
    </w:p>
    <w:p>
      <w:pPr>
        <w:spacing w:line="360" w:lineRule="auto"/>
        <w:rPr>
          <w:rFonts w:ascii="宋体"/>
          <w:b/>
        </w:rPr>
      </w:pPr>
    </w:p>
    <w:p>
      <w:pPr>
        <w:spacing w:line="360" w:lineRule="auto"/>
        <w:rPr>
          <w:rFonts w:ascii="宋体"/>
          <w:b/>
        </w:rPr>
      </w:pPr>
    </w:p>
    <w:p>
      <w:pPr>
        <w:spacing w:line="360" w:lineRule="auto"/>
        <w:rPr>
          <w:rFonts w:ascii="宋体"/>
          <w:b/>
        </w:rPr>
      </w:pPr>
    </w:p>
    <w:p>
      <w:pPr>
        <w:spacing w:line="360" w:lineRule="auto"/>
        <w:rPr>
          <w:rFonts w:ascii="宋体"/>
          <w:b/>
        </w:rPr>
      </w:pPr>
    </w:p>
    <w:p>
      <w:pPr>
        <w:spacing w:line="360" w:lineRule="auto"/>
        <w:rPr>
          <w:rFonts w:ascii="宋体"/>
          <w:b/>
        </w:rPr>
      </w:pPr>
    </w:p>
    <w:p>
      <w:pPr>
        <w:spacing w:line="360" w:lineRule="auto"/>
        <w:rPr>
          <w:rFonts w:ascii="宋体"/>
          <w:b/>
        </w:rPr>
      </w:pPr>
    </w:p>
    <w:p>
      <w:pPr>
        <w:spacing w:line="360" w:lineRule="auto"/>
        <w:rPr>
          <w:rFonts w:ascii="宋体"/>
          <w:b/>
        </w:rPr>
      </w:pPr>
    </w:p>
    <w:p>
      <w:pPr>
        <w:spacing w:line="360" w:lineRule="auto"/>
        <w:rPr>
          <w:rFonts w:ascii="宋体"/>
          <w:b/>
        </w:rPr>
      </w:pPr>
    </w:p>
    <w:p>
      <w:pPr>
        <w:spacing w:line="360" w:lineRule="auto"/>
        <w:rPr>
          <w:rFonts w:ascii="宋体"/>
          <w:b/>
        </w:rPr>
      </w:pPr>
    </w:p>
    <w:p>
      <w:pPr>
        <w:spacing w:line="360" w:lineRule="auto"/>
        <w:rPr>
          <w:rFonts w:ascii="宋体"/>
          <w:b/>
        </w:rPr>
      </w:pPr>
    </w:p>
    <w:p>
      <w:pPr>
        <w:spacing w:line="360" w:lineRule="auto"/>
        <w:rPr>
          <w:rFonts w:ascii="宋体"/>
          <w:b/>
        </w:rPr>
      </w:pPr>
    </w:p>
    <w:p>
      <w:pPr>
        <w:spacing w:line="360" w:lineRule="auto"/>
        <w:rPr>
          <w:rFonts w:ascii="宋体"/>
          <w:b/>
        </w:rPr>
      </w:pPr>
    </w:p>
    <w:p>
      <w:pPr>
        <w:spacing w:line="360" w:lineRule="auto"/>
        <w:rPr>
          <w:rFonts w:ascii="宋体"/>
          <w:b/>
        </w:rPr>
      </w:pPr>
    </w:p>
    <w:p>
      <w:pPr>
        <w:spacing w:line="360" w:lineRule="auto"/>
        <w:rPr>
          <w:rFonts w:ascii="宋体"/>
          <w:b/>
        </w:rPr>
      </w:pPr>
    </w:p>
    <w:p>
      <w:pPr>
        <w:spacing w:line="360" w:lineRule="auto"/>
        <w:rPr>
          <w:rFonts w:ascii="宋体"/>
          <w:b/>
        </w:rPr>
      </w:pPr>
    </w:p>
    <w:p>
      <w:pPr>
        <w:spacing w:line="360" w:lineRule="auto"/>
        <w:rPr>
          <w:rFonts w:ascii="宋体"/>
          <w:b/>
        </w:rPr>
      </w:pPr>
    </w:p>
    <w:p>
      <w:pPr>
        <w:spacing w:line="360" w:lineRule="auto"/>
        <w:rPr>
          <w:rFonts w:ascii="宋体"/>
          <w:b/>
        </w:rPr>
      </w:pPr>
    </w:p>
    <w:p>
      <w:pPr>
        <w:spacing w:line="360" w:lineRule="auto"/>
        <w:ind w:firstLine="1606" w:firstLineChars="400"/>
        <w:rPr>
          <w:b/>
          <w:sz w:val="40"/>
          <w:szCs w:val="36"/>
        </w:rPr>
      </w:pPr>
      <w:r>
        <w:rPr>
          <w:rFonts w:hint="eastAsia"/>
          <w:b/>
          <w:sz w:val="40"/>
          <w:szCs w:val="36"/>
        </w:rPr>
        <w:t>万物梁行外包方E</w:t>
      </w:r>
      <w:r>
        <w:rPr>
          <w:b/>
          <w:sz w:val="40"/>
          <w:szCs w:val="36"/>
        </w:rPr>
        <w:t>HS</w:t>
      </w:r>
      <w:r>
        <w:rPr>
          <w:rFonts w:hint="eastAsia"/>
          <w:b/>
          <w:sz w:val="40"/>
          <w:szCs w:val="36"/>
        </w:rPr>
        <w:t>责任书</w:t>
      </w:r>
    </w:p>
    <w:p>
      <w:pPr>
        <w:pStyle w:val="14"/>
        <w:rPr>
          <w:rFonts w:ascii="Arial" w:hAnsi="Arial"/>
          <w:b w:val="0"/>
          <w:color w:val="0070C0"/>
          <w:sz w:val="21"/>
          <w:szCs w:val="21"/>
        </w:rPr>
      </w:pPr>
      <w:r>
        <w:rPr>
          <w:rFonts w:hint="eastAsia" w:ascii="宋体" w:hAnsi="宋体"/>
          <w:b w:val="0"/>
          <w:sz w:val="21"/>
          <w:szCs w:val="21"/>
        </w:rPr>
        <w:t>编号：</w:t>
      </w:r>
      <w:r>
        <w:rPr>
          <w:rFonts w:ascii="宋体" w:hAnsi="宋体"/>
          <w:b w:val="0"/>
          <w:bCs w:val="0"/>
          <w:sz w:val="21"/>
          <w:szCs w:val="21"/>
        </w:rPr>
        <w:t xml:space="preserve"> VCW-OP-EHS-103-A1</w:t>
      </w:r>
      <w:r>
        <w:rPr>
          <w:rFonts w:hint="eastAsia" w:ascii="宋体" w:hAnsi="宋体"/>
          <w:b w:val="0"/>
          <w:sz w:val="21"/>
          <w:szCs w:val="21"/>
        </w:rPr>
        <w:t xml:space="preserve">             版本：A/0           生效日期：2020年</w:t>
      </w:r>
      <w:r>
        <w:rPr>
          <w:rFonts w:ascii="宋体" w:hAnsi="宋体"/>
          <w:b w:val="0"/>
          <w:sz w:val="21"/>
          <w:szCs w:val="21"/>
        </w:rPr>
        <w:t>6</w:t>
      </w:r>
      <w:r>
        <w:rPr>
          <w:rFonts w:hint="eastAsia" w:ascii="宋体" w:hAnsi="宋体"/>
          <w:b w:val="0"/>
          <w:sz w:val="21"/>
          <w:szCs w:val="21"/>
        </w:rPr>
        <w:t>月</w:t>
      </w:r>
      <w:r>
        <w:rPr>
          <w:rFonts w:ascii="宋体" w:hAnsi="宋体"/>
          <w:b w:val="0"/>
          <w:sz w:val="21"/>
          <w:szCs w:val="21"/>
        </w:rPr>
        <w:t>1</w:t>
      </w:r>
      <w:r>
        <w:rPr>
          <w:rFonts w:hint="eastAsia" w:ascii="宋体" w:hAnsi="宋体"/>
          <w:b w:val="0"/>
          <w:sz w:val="21"/>
          <w:szCs w:val="21"/>
        </w:rPr>
        <w:t>日</w:t>
      </w:r>
    </w:p>
    <w:p>
      <w:pPr>
        <w:spacing w:line="360" w:lineRule="auto"/>
        <w:jc w:val="center"/>
        <w:rPr>
          <w:b/>
          <w:sz w:val="32"/>
          <w:szCs w:val="21"/>
        </w:rPr>
      </w:pPr>
    </w:p>
    <w:p>
      <w:pPr>
        <w:spacing w:after="312" w:afterLines="100" w:line="360" w:lineRule="auto"/>
        <w:jc w:val="left"/>
        <w:rPr>
          <w:bCs/>
          <w:sz w:val="24"/>
          <w:szCs w:val="21"/>
          <w:u w:val="single"/>
        </w:rPr>
      </w:pPr>
      <w:r>
        <w:rPr>
          <w:rFonts w:hint="eastAsia"/>
          <w:b/>
          <w:sz w:val="24"/>
          <w:szCs w:val="21"/>
        </w:rPr>
        <w:t>甲方：</w:t>
      </w:r>
      <w:r>
        <w:rPr>
          <w:rFonts w:hint="eastAsia"/>
          <w:bCs/>
          <w:sz w:val="24"/>
          <w:szCs w:val="21"/>
          <w:u w:val="single"/>
        </w:rPr>
        <w:t xml:space="preserve">              </w:t>
      </w:r>
    </w:p>
    <w:p>
      <w:pPr>
        <w:tabs>
          <w:tab w:val="left" w:pos="6689"/>
        </w:tabs>
        <w:spacing w:after="312" w:afterLines="100" w:line="360" w:lineRule="auto"/>
        <w:jc w:val="left"/>
        <w:rPr>
          <w:b/>
          <w:sz w:val="24"/>
          <w:szCs w:val="21"/>
        </w:rPr>
      </w:pPr>
      <w:r>
        <w:rPr>
          <w:rFonts w:hint="eastAsia"/>
          <w:b/>
          <w:sz w:val="24"/>
          <w:szCs w:val="21"/>
        </w:rPr>
        <w:t>乙方：</w:t>
      </w:r>
      <w:r>
        <w:rPr>
          <w:rFonts w:hint="eastAsia"/>
          <w:bCs/>
          <w:sz w:val="24"/>
          <w:szCs w:val="21"/>
          <w:u w:val="single"/>
        </w:rPr>
        <w:t xml:space="preserve"> </w:t>
      </w:r>
      <w:r>
        <w:rPr>
          <w:rFonts w:hint="eastAsia" w:ascii="宋体"/>
          <w:b/>
          <w:u w:val="single"/>
          <w:lang w:val="en-US" w:eastAsia="zh-CN"/>
        </w:rPr>
        <w:t>北京三汇能环科技发展有限公司</w:t>
      </w:r>
      <w:r>
        <w:rPr>
          <w:rFonts w:hint="eastAsia"/>
          <w:bCs/>
          <w:sz w:val="24"/>
          <w:szCs w:val="21"/>
          <w:u w:val="single"/>
        </w:rPr>
        <w:t xml:space="preserve">  </w:t>
      </w:r>
    </w:p>
    <w:p>
      <w:pPr>
        <w:spacing w:line="360" w:lineRule="auto"/>
        <w:ind w:firstLine="480" w:firstLineChars="200"/>
        <w:rPr>
          <w:sz w:val="24"/>
          <w:szCs w:val="21"/>
        </w:rPr>
      </w:pPr>
      <w:r>
        <w:rPr>
          <w:rFonts w:hint="eastAsia"/>
          <w:sz w:val="24"/>
          <w:szCs w:val="21"/>
        </w:rPr>
        <w:t>为了明确供方的E</w:t>
      </w:r>
      <w:r>
        <w:rPr>
          <w:sz w:val="24"/>
          <w:szCs w:val="21"/>
        </w:rPr>
        <w:t>HS</w:t>
      </w:r>
      <w:r>
        <w:rPr>
          <w:rFonts w:hint="eastAsia"/>
          <w:sz w:val="24"/>
          <w:szCs w:val="21"/>
        </w:rPr>
        <w:t>责任，规范现场作业人员的安全行为，确保作业在安全的环境中得到实施，最大限度的避免和降低安全事故的发生，根据《中华人民共和国安全生产法》等有关法律、法规，特制定本责任书,该责任书适用于所有为甲方提供作业外包服务的供方。</w:t>
      </w:r>
      <w:r>
        <w:rPr>
          <w:sz w:val="24"/>
          <w:szCs w:val="21"/>
        </w:rPr>
        <w:t>任何违反本规定的行为将可能导致终止</w:t>
      </w:r>
      <w:r>
        <w:rPr>
          <w:rFonts w:hint="eastAsia"/>
          <w:sz w:val="24"/>
          <w:szCs w:val="21"/>
        </w:rPr>
        <w:t>服务</w:t>
      </w:r>
      <w:r>
        <w:rPr>
          <w:sz w:val="24"/>
          <w:szCs w:val="21"/>
        </w:rPr>
        <w:t>合同,并由</w:t>
      </w:r>
      <w:r>
        <w:rPr>
          <w:rFonts w:hint="eastAsia"/>
          <w:sz w:val="24"/>
          <w:szCs w:val="21"/>
        </w:rPr>
        <w:t>供方</w:t>
      </w:r>
      <w:r>
        <w:rPr>
          <w:sz w:val="24"/>
          <w:szCs w:val="21"/>
        </w:rPr>
        <w:t>承担因其原因造成的损失和责任。</w:t>
      </w:r>
    </w:p>
    <w:p>
      <w:pPr>
        <w:spacing w:before="156" w:beforeLines="50" w:after="156" w:afterLines="50" w:line="240" w:lineRule="atLeast"/>
        <w:ind w:firstLine="360" w:firstLineChars="150"/>
        <w:rPr>
          <w:sz w:val="24"/>
          <w:szCs w:val="21"/>
        </w:rPr>
      </w:pPr>
      <w:r>
        <w:rPr>
          <w:sz w:val="24"/>
          <w:szCs w:val="21"/>
        </w:rPr>
        <w:t>本</w:t>
      </w:r>
      <w:r>
        <w:rPr>
          <w:rFonts w:hint="eastAsia"/>
          <w:sz w:val="24"/>
          <w:szCs w:val="21"/>
        </w:rPr>
        <w:t>责任书</w:t>
      </w:r>
      <w:r>
        <w:rPr>
          <w:sz w:val="24"/>
          <w:szCs w:val="21"/>
        </w:rPr>
        <w:t>作为</w:t>
      </w:r>
      <w:r>
        <w:rPr>
          <w:rFonts w:hint="eastAsia"/>
          <w:sz w:val="24"/>
          <w:szCs w:val="21"/>
        </w:rPr>
        <w:t>甲方</w:t>
      </w:r>
      <w:r>
        <w:rPr>
          <w:sz w:val="24"/>
          <w:szCs w:val="21"/>
        </w:rPr>
        <w:t>与</w:t>
      </w:r>
      <w:r>
        <w:rPr>
          <w:rFonts w:hint="eastAsia"/>
          <w:sz w:val="24"/>
          <w:szCs w:val="21"/>
        </w:rPr>
        <w:t>乙方</w:t>
      </w:r>
      <w:r>
        <w:rPr>
          <w:sz w:val="24"/>
          <w:szCs w:val="21"/>
        </w:rPr>
        <w:t>的</w:t>
      </w:r>
      <w:r>
        <w:rPr>
          <w:rFonts w:hint="eastAsia"/>
          <w:sz w:val="24"/>
          <w:szCs w:val="21"/>
        </w:rPr>
        <w:t>服务合同</w:t>
      </w:r>
      <w:r>
        <w:rPr>
          <w:sz w:val="24"/>
          <w:szCs w:val="21"/>
        </w:rPr>
        <w:t>附件，具同等法律效力。</w:t>
      </w:r>
    </w:p>
    <w:p>
      <w:pPr>
        <w:spacing w:line="360" w:lineRule="auto"/>
        <w:rPr>
          <w:sz w:val="24"/>
          <w:szCs w:val="21"/>
        </w:rPr>
      </w:pPr>
    </w:p>
    <w:p>
      <w:pPr>
        <w:spacing w:line="360" w:lineRule="auto"/>
        <w:rPr>
          <w:rFonts w:ascii="宋体" w:hAnsi="宋体"/>
          <w:b/>
          <w:sz w:val="24"/>
        </w:rPr>
      </w:pPr>
      <w:r>
        <w:rPr>
          <w:rFonts w:hint="eastAsia" w:ascii="宋体" w:hAnsi="宋体"/>
          <w:b/>
          <w:sz w:val="24"/>
        </w:rPr>
        <w:t>一、E</w:t>
      </w:r>
      <w:r>
        <w:rPr>
          <w:rFonts w:ascii="宋体" w:hAnsi="宋体"/>
          <w:b/>
          <w:sz w:val="24"/>
        </w:rPr>
        <w:t>HS</w:t>
      </w:r>
      <w:r>
        <w:rPr>
          <w:rFonts w:hint="eastAsia" w:ascii="宋体" w:hAnsi="宋体"/>
          <w:b/>
          <w:sz w:val="24"/>
        </w:rPr>
        <w:t>责任要求：</w:t>
      </w:r>
    </w:p>
    <w:p>
      <w:pPr>
        <w:spacing w:line="360" w:lineRule="auto"/>
        <w:rPr>
          <w:sz w:val="24"/>
          <w:szCs w:val="21"/>
        </w:rPr>
      </w:pPr>
      <w:r>
        <w:rPr>
          <w:rFonts w:hint="eastAsia"/>
          <w:sz w:val="24"/>
          <w:szCs w:val="21"/>
        </w:rPr>
        <w:t>1.供方及其管理人员安全责任</w:t>
      </w:r>
    </w:p>
    <w:p>
      <w:pPr>
        <w:pStyle w:val="32"/>
        <w:numPr>
          <w:ilvl w:val="0"/>
          <w:numId w:val="4"/>
        </w:numPr>
        <w:tabs>
          <w:tab w:val="left" w:pos="426"/>
        </w:tabs>
        <w:spacing w:line="360" w:lineRule="auto"/>
        <w:rPr>
          <w:rFonts w:ascii="Times New Roman" w:hAnsi="Times New Roman"/>
          <w:kern w:val="2"/>
          <w:sz w:val="24"/>
          <w:szCs w:val="21"/>
          <w:lang w:val="en-US" w:eastAsia="zh-CN"/>
        </w:rPr>
      </w:pPr>
      <w:r>
        <w:rPr>
          <w:rFonts w:hint="eastAsia" w:ascii="Times New Roman" w:hAnsi="Times New Roman"/>
          <w:kern w:val="2"/>
          <w:sz w:val="24"/>
          <w:szCs w:val="21"/>
          <w:lang w:val="en-US" w:eastAsia="zh-CN"/>
        </w:rPr>
        <w:t>承诺遵守国家或地方的法律法规、相关的行业安全规范和甲方E</w:t>
      </w:r>
      <w:r>
        <w:rPr>
          <w:rFonts w:ascii="Times New Roman" w:hAnsi="Times New Roman"/>
          <w:kern w:val="2"/>
          <w:sz w:val="24"/>
          <w:szCs w:val="21"/>
          <w:lang w:val="en-US" w:eastAsia="zh-CN"/>
        </w:rPr>
        <w:t>HS</w:t>
      </w:r>
      <w:r>
        <w:rPr>
          <w:rFonts w:hint="eastAsia" w:ascii="Times New Roman" w:hAnsi="Times New Roman"/>
          <w:kern w:val="2"/>
          <w:sz w:val="24"/>
          <w:szCs w:val="21"/>
          <w:lang w:val="en-US" w:eastAsia="zh-CN"/>
        </w:rPr>
        <w:t>政策和作业程序。</w:t>
      </w:r>
    </w:p>
    <w:p>
      <w:pPr>
        <w:numPr>
          <w:ilvl w:val="0"/>
          <w:numId w:val="4"/>
        </w:numPr>
        <w:spacing w:line="360" w:lineRule="auto"/>
        <w:rPr>
          <w:sz w:val="24"/>
          <w:szCs w:val="21"/>
        </w:rPr>
      </w:pPr>
      <w:r>
        <w:rPr>
          <w:rFonts w:hint="eastAsia"/>
          <w:sz w:val="24"/>
          <w:szCs w:val="21"/>
        </w:rPr>
        <w:t>应确保所有为甲方提供服务的员工已经获得相关工作的资质并接受了充分的与工作相关的安全管理制度，操作章程，工作程序的培训以便他们可以安全的完成相关工作。</w:t>
      </w:r>
    </w:p>
    <w:p>
      <w:pPr>
        <w:pStyle w:val="32"/>
        <w:numPr>
          <w:ilvl w:val="0"/>
          <w:numId w:val="4"/>
        </w:numPr>
        <w:tabs>
          <w:tab w:val="left" w:pos="426"/>
        </w:tabs>
        <w:spacing w:line="360" w:lineRule="auto"/>
        <w:rPr>
          <w:rFonts w:ascii="Times New Roman" w:hAnsi="Times New Roman"/>
          <w:kern w:val="2"/>
          <w:sz w:val="24"/>
          <w:szCs w:val="21"/>
          <w:lang w:val="en-US" w:eastAsia="zh-CN"/>
        </w:rPr>
      </w:pPr>
      <w:r>
        <w:rPr>
          <w:rFonts w:hint="eastAsia"/>
          <w:sz w:val="24"/>
          <w:szCs w:val="21"/>
          <w:lang w:eastAsia="zh-CN"/>
        </w:rPr>
        <w:t>应确保所有为甲方提供服务的员工身体条件符合工作要求，无职业禁忌症、职业病和可能在工作期间导致严重后果的疾患，如心源性心脏病等。</w:t>
      </w:r>
    </w:p>
    <w:p>
      <w:pPr>
        <w:pStyle w:val="32"/>
        <w:numPr>
          <w:ilvl w:val="0"/>
          <w:numId w:val="4"/>
        </w:numPr>
        <w:tabs>
          <w:tab w:val="left" w:pos="426"/>
        </w:tabs>
        <w:spacing w:line="360" w:lineRule="auto"/>
        <w:rPr>
          <w:rFonts w:ascii="Times New Roman" w:hAnsi="Times New Roman"/>
          <w:kern w:val="2"/>
          <w:sz w:val="24"/>
          <w:szCs w:val="21"/>
          <w:lang w:val="en-US" w:eastAsia="zh-CN"/>
        </w:rPr>
      </w:pPr>
      <w:r>
        <w:rPr>
          <w:rFonts w:hint="eastAsia"/>
          <w:sz w:val="24"/>
          <w:szCs w:val="21"/>
          <w:lang w:eastAsia="zh-CN"/>
        </w:rPr>
        <w:t>必须按照有关规定，结合作业的特点，制定作业的E</w:t>
      </w:r>
      <w:r>
        <w:rPr>
          <w:sz w:val="24"/>
          <w:szCs w:val="21"/>
          <w:lang w:eastAsia="zh-CN"/>
        </w:rPr>
        <w:t>HS</w:t>
      </w:r>
      <w:r>
        <w:rPr>
          <w:rFonts w:hint="eastAsia"/>
          <w:sz w:val="24"/>
          <w:szCs w:val="21"/>
          <w:lang w:eastAsia="zh-CN"/>
        </w:rPr>
        <w:t>责任、检查、教育培训、奖惩以及设施设备安全管理、劳防用品配备和管理、危险作业安全管理、特种作业管理、事故报告处理等规章制度。</w:t>
      </w:r>
    </w:p>
    <w:p>
      <w:pPr>
        <w:pStyle w:val="32"/>
        <w:numPr>
          <w:ilvl w:val="0"/>
          <w:numId w:val="4"/>
        </w:numPr>
        <w:tabs>
          <w:tab w:val="left" w:pos="426"/>
        </w:tabs>
        <w:spacing w:line="360" w:lineRule="auto"/>
        <w:rPr>
          <w:rFonts w:ascii="Times New Roman" w:hAnsi="Times New Roman"/>
          <w:kern w:val="2"/>
          <w:sz w:val="24"/>
          <w:szCs w:val="21"/>
          <w:lang w:val="en-US" w:eastAsia="zh-CN"/>
        </w:rPr>
      </w:pPr>
      <w:r>
        <w:rPr>
          <w:rFonts w:hint="eastAsia" w:ascii="Times New Roman" w:hAnsi="Times New Roman"/>
          <w:kern w:val="2"/>
          <w:sz w:val="24"/>
          <w:szCs w:val="21"/>
          <w:lang w:val="en-US" w:eastAsia="zh-CN"/>
        </w:rPr>
        <w:t>提供其他特殊的培训，包括但不限于甲方的E</w:t>
      </w:r>
      <w:r>
        <w:rPr>
          <w:rFonts w:ascii="Times New Roman" w:hAnsi="Times New Roman"/>
          <w:kern w:val="2"/>
          <w:sz w:val="24"/>
          <w:szCs w:val="21"/>
          <w:lang w:val="en-US" w:eastAsia="zh-CN"/>
        </w:rPr>
        <w:t>HS</w:t>
      </w:r>
      <w:r>
        <w:rPr>
          <w:rFonts w:hint="eastAsia" w:ascii="Times New Roman" w:hAnsi="Times New Roman"/>
          <w:kern w:val="2"/>
          <w:sz w:val="24"/>
          <w:szCs w:val="21"/>
          <w:lang w:val="en-US" w:eastAsia="zh-CN"/>
        </w:rPr>
        <w:t>培训。</w:t>
      </w:r>
    </w:p>
    <w:p>
      <w:pPr>
        <w:pStyle w:val="32"/>
        <w:numPr>
          <w:ilvl w:val="0"/>
          <w:numId w:val="4"/>
        </w:numPr>
        <w:tabs>
          <w:tab w:val="left" w:pos="120"/>
          <w:tab w:val="left" w:pos="426"/>
        </w:tabs>
        <w:spacing w:line="360" w:lineRule="auto"/>
        <w:rPr>
          <w:rFonts w:ascii="Times New Roman" w:hAnsi="Times New Roman"/>
          <w:kern w:val="2"/>
          <w:sz w:val="24"/>
          <w:szCs w:val="21"/>
          <w:lang w:val="en-US" w:eastAsia="zh-CN"/>
        </w:rPr>
      </w:pPr>
      <w:r>
        <w:rPr>
          <w:rFonts w:hint="eastAsia" w:ascii="Times New Roman" w:hAnsi="Times New Roman"/>
          <w:kern w:val="2"/>
          <w:sz w:val="24"/>
          <w:szCs w:val="21"/>
          <w:lang w:val="en-US" w:eastAsia="zh-CN"/>
        </w:rPr>
        <w:t>提供一个安全健康的作业环境，保证该作业区不存在安全隐患。</w:t>
      </w:r>
    </w:p>
    <w:p>
      <w:pPr>
        <w:pStyle w:val="32"/>
        <w:numPr>
          <w:ilvl w:val="0"/>
          <w:numId w:val="4"/>
        </w:numPr>
        <w:tabs>
          <w:tab w:val="left" w:pos="120"/>
          <w:tab w:val="left" w:pos="426"/>
        </w:tabs>
        <w:spacing w:line="360" w:lineRule="auto"/>
        <w:rPr>
          <w:rFonts w:ascii="Times New Roman" w:hAnsi="Times New Roman"/>
          <w:kern w:val="2"/>
          <w:sz w:val="24"/>
          <w:szCs w:val="21"/>
          <w:lang w:val="en-US" w:eastAsia="zh-CN"/>
        </w:rPr>
      </w:pPr>
      <w:r>
        <w:rPr>
          <w:rFonts w:hint="eastAsia" w:ascii="Times New Roman" w:hAnsi="Times New Roman"/>
          <w:kern w:val="2"/>
          <w:sz w:val="24"/>
          <w:szCs w:val="21"/>
          <w:lang w:val="en-US" w:eastAsia="zh-CN"/>
        </w:rPr>
        <w:t>有明确的人员工伤</w:t>
      </w:r>
      <w:r>
        <w:rPr>
          <w:rFonts w:ascii="Times New Roman" w:hAnsi="Times New Roman"/>
          <w:kern w:val="2"/>
          <w:sz w:val="24"/>
          <w:szCs w:val="21"/>
          <w:lang w:val="en-US" w:eastAsia="zh-CN"/>
        </w:rPr>
        <w:t>/疾病预防控制方案(安全程序)。</w:t>
      </w:r>
    </w:p>
    <w:p>
      <w:pPr>
        <w:pStyle w:val="32"/>
        <w:numPr>
          <w:ilvl w:val="0"/>
          <w:numId w:val="4"/>
        </w:numPr>
        <w:tabs>
          <w:tab w:val="left" w:pos="120"/>
          <w:tab w:val="left" w:pos="426"/>
        </w:tabs>
        <w:spacing w:line="360" w:lineRule="auto"/>
        <w:rPr>
          <w:rFonts w:ascii="Times New Roman" w:hAnsi="Times New Roman"/>
          <w:kern w:val="2"/>
          <w:sz w:val="24"/>
          <w:szCs w:val="21"/>
          <w:lang w:val="en-US" w:eastAsia="zh-CN"/>
        </w:rPr>
      </w:pPr>
      <w:r>
        <w:rPr>
          <w:rFonts w:hint="eastAsia"/>
          <w:sz w:val="24"/>
          <w:szCs w:val="21"/>
          <w:lang w:eastAsia="zh-CN"/>
        </w:rPr>
        <w:t>乙方必须按照GB/T11651个体</w:t>
      </w:r>
      <w:r>
        <w:rPr>
          <w:sz w:val="24"/>
          <w:szCs w:val="21"/>
          <w:lang w:eastAsia="zh-CN"/>
        </w:rPr>
        <w:t>防护装备选用规范</w:t>
      </w:r>
      <w:r>
        <w:rPr>
          <w:rFonts w:hint="eastAsia"/>
          <w:sz w:val="24"/>
          <w:szCs w:val="21"/>
          <w:lang w:eastAsia="zh-CN"/>
        </w:rPr>
        <w:t>和地方法规的要求，向作业员工提供完备和有效的劳动防护用品和安全设施。</w:t>
      </w:r>
      <w:r>
        <w:rPr>
          <w:rFonts w:hint="eastAsia" w:ascii="Times New Roman" w:hAnsi="Times New Roman"/>
          <w:kern w:val="2"/>
          <w:sz w:val="24"/>
          <w:szCs w:val="21"/>
          <w:lang w:val="en-US" w:eastAsia="zh-CN"/>
        </w:rPr>
        <w:t>供方人员的变动或终止，应当提前通知甲方</w:t>
      </w:r>
      <w:r>
        <w:rPr>
          <w:rFonts w:ascii="Times New Roman" w:hAnsi="Times New Roman"/>
          <w:kern w:val="2"/>
          <w:sz w:val="24"/>
          <w:szCs w:val="21"/>
          <w:lang w:val="en-US" w:eastAsia="zh-CN"/>
        </w:rPr>
        <w:t>管理部门。</w:t>
      </w:r>
    </w:p>
    <w:p>
      <w:pPr>
        <w:numPr>
          <w:ilvl w:val="0"/>
          <w:numId w:val="4"/>
        </w:numPr>
        <w:spacing w:line="360" w:lineRule="auto"/>
        <w:rPr>
          <w:sz w:val="24"/>
          <w:szCs w:val="21"/>
        </w:rPr>
      </w:pPr>
      <w:r>
        <w:rPr>
          <w:rFonts w:hint="eastAsia"/>
          <w:sz w:val="24"/>
          <w:szCs w:val="21"/>
        </w:rPr>
        <w:t>供方的特种设备操作人员，特种作业人员必须要经过相关安全和专业知识的培训，特种设备操作人员和特种作业人员做到持证上岗。</w:t>
      </w:r>
    </w:p>
    <w:p>
      <w:pPr>
        <w:pStyle w:val="32"/>
        <w:numPr>
          <w:ilvl w:val="0"/>
          <w:numId w:val="4"/>
        </w:numPr>
        <w:tabs>
          <w:tab w:val="left" w:pos="120"/>
          <w:tab w:val="left" w:pos="426"/>
        </w:tabs>
        <w:spacing w:line="360" w:lineRule="auto"/>
        <w:rPr>
          <w:rFonts w:ascii="Times New Roman" w:hAnsi="Times New Roman"/>
          <w:kern w:val="2"/>
          <w:sz w:val="24"/>
          <w:szCs w:val="21"/>
          <w:lang w:val="en-US" w:eastAsia="zh-CN"/>
        </w:rPr>
      </w:pPr>
      <w:r>
        <w:rPr>
          <w:rFonts w:hint="eastAsia"/>
          <w:sz w:val="24"/>
          <w:szCs w:val="21"/>
          <w:lang w:eastAsia="zh-CN"/>
        </w:rPr>
        <w:t>如有危险品的材料或物品，必须通知甲方并按照甲方要求和相关危险品管理规定的要求进行保管和管理</w:t>
      </w:r>
    </w:p>
    <w:p>
      <w:pPr>
        <w:pStyle w:val="32"/>
        <w:numPr>
          <w:ilvl w:val="0"/>
          <w:numId w:val="4"/>
        </w:numPr>
        <w:tabs>
          <w:tab w:val="left" w:pos="120"/>
          <w:tab w:val="left" w:pos="426"/>
        </w:tabs>
        <w:spacing w:line="360" w:lineRule="auto"/>
        <w:rPr>
          <w:rFonts w:ascii="Times New Roman" w:hAnsi="Times New Roman"/>
          <w:kern w:val="2"/>
          <w:sz w:val="24"/>
          <w:szCs w:val="21"/>
          <w:lang w:val="en-US" w:eastAsia="zh-CN"/>
        </w:rPr>
      </w:pPr>
      <w:r>
        <w:rPr>
          <w:rFonts w:hint="eastAsia"/>
          <w:sz w:val="24"/>
          <w:szCs w:val="21"/>
          <w:lang w:eastAsia="zh-CN"/>
        </w:rPr>
        <w:t>应自觉接受甲方或政府相关部门的安全生产监督检查，</w:t>
      </w:r>
      <w:r>
        <w:rPr>
          <w:rFonts w:hint="eastAsia" w:ascii="Times New Roman" w:hAnsi="Times New Roman"/>
          <w:kern w:val="2"/>
          <w:sz w:val="24"/>
          <w:szCs w:val="21"/>
          <w:lang w:val="en-US" w:eastAsia="zh-CN"/>
        </w:rPr>
        <w:t>作业区内的事故应当自发生之时立即</w:t>
      </w:r>
      <w:r>
        <w:rPr>
          <w:rFonts w:ascii="Times New Roman" w:hAnsi="Times New Roman"/>
          <w:kern w:val="2"/>
          <w:sz w:val="24"/>
          <w:szCs w:val="21"/>
          <w:lang w:val="en-US" w:eastAsia="zh-CN"/>
        </w:rPr>
        <w:t>通知</w:t>
      </w:r>
      <w:r>
        <w:rPr>
          <w:rFonts w:hint="eastAsia" w:ascii="Times New Roman" w:hAnsi="Times New Roman"/>
          <w:kern w:val="2"/>
          <w:sz w:val="24"/>
          <w:szCs w:val="21"/>
          <w:lang w:val="en-US" w:eastAsia="zh-CN"/>
        </w:rPr>
        <w:t>甲方一方。</w:t>
      </w:r>
    </w:p>
    <w:p>
      <w:pPr>
        <w:pStyle w:val="32"/>
        <w:numPr>
          <w:ilvl w:val="0"/>
          <w:numId w:val="4"/>
        </w:numPr>
        <w:tabs>
          <w:tab w:val="left" w:pos="120"/>
          <w:tab w:val="left" w:pos="426"/>
        </w:tabs>
        <w:spacing w:line="360" w:lineRule="auto"/>
        <w:rPr>
          <w:rFonts w:ascii="Times New Roman" w:hAnsi="Times New Roman"/>
          <w:kern w:val="2"/>
          <w:sz w:val="24"/>
          <w:szCs w:val="21"/>
          <w:lang w:val="en-US" w:eastAsia="zh-CN"/>
        </w:rPr>
      </w:pPr>
      <w:r>
        <w:rPr>
          <w:rFonts w:hint="eastAsia"/>
          <w:sz w:val="24"/>
          <w:szCs w:val="21"/>
          <w:lang w:eastAsia="zh-CN"/>
        </w:rPr>
        <w:t>为作业员工购买相应的社会保险和意外伤害保险， 甲方有权随时要求乙方提供相关凭</w:t>
      </w:r>
    </w:p>
    <w:p>
      <w:pPr>
        <w:pStyle w:val="32"/>
        <w:numPr>
          <w:ilvl w:val="0"/>
          <w:numId w:val="4"/>
        </w:numPr>
        <w:tabs>
          <w:tab w:val="left" w:pos="120"/>
          <w:tab w:val="left" w:pos="426"/>
        </w:tabs>
        <w:spacing w:line="360" w:lineRule="auto"/>
        <w:rPr>
          <w:rFonts w:ascii="Times New Roman" w:hAnsi="Times New Roman"/>
          <w:kern w:val="2"/>
          <w:sz w:val="24"/>
          <w:szCs w:val="21"/>
          <w:lang w:val="en-US" w:eastAsia="zh-CN"/>
        </w:rPr>
      </w:pPr>
      <w:r>
        <w:rPr>
          <w:rFonts w:hint="eastAsia"/>
          <w:sz w:val="24"/>
          <w:szCs w:val="21"/>
          <w:lang w:eastAsia="zh-CN"/>
        </w:rPr>
        <w:t>如按合约规定乙方需提供器械、仪器、工具、设备、物料等，乙方必须确保该等器械、仪器、工具、设备、物料等符合国家和地方法规的作业规定和遵守相关使用程序规定。</w:t>
      </w:r>
    </w:p>
    <w:p>
      <w:pPr>
        <w:pStyle w:val="32"/>
        <w:spacing w:line="360" w:lineRule="auto"/>
        <w:jc w:val="both"/>
        <w:rPr>
          <w:rFonts w:ascii="Times New Roman" w:hAnsi="Times New Roman"/>
          <w:kern w:val="2"/>
          <w:sz w:val="24"/>
          <w:szCs w:val="21"/>
          <w:lang w:val="en-US" w:eastAsia="zh-CN"/>
        </w:rPr>
      </w:pPr>
      <w:r>
        <w:rPr>
          <w:rFonts w:hint="eastAsia" w:ascii="Times New Roman" w:hAnsi="Times New Roman"/>
          <w:kern w:val="2"/>
          <w:sz w:val="24"/>
          <w:szCs w:val="21"/>
          <w:lang w:val="en-US" w:eastAsia="zh-CN"/>
        </w:rPr>
        <w:t>2.</w:t>
      </w:r>
      <w:r>
        <w:rPr>
          <w:rFonts w:ascii="Times New Roman" w:hAnsi="Times New Roman"/>
          <w:kern w:val="2"/>
          <w:sz w:val="24"/>
          <w:szCs w:val="21"/>
          <w:lang w:val="en-US" w:eastAsia="zh-CN"/>
        </w:rPr>
        <w:t xml:space="preserve"> </w:t>
      </w:r>
      <w:r>
        <w:rPr>
          <w:rFonts w:hint="eastAsia" w:ascii="Times New Roman" w:hAnsi="Times New Roman"/>
          <w:kern w:val="2"/>
          <w:sz w:val="24"/>
          <w:szCs w:val="21"/>
          <w:lang w:val="en-US" w:eastAsia="zh-CN"/>
        </w:rPr>
        <w:t>供方工作人员</w:t>
      </w:r>
    </w:p>
    <w:p>
      <w:pPr>
        <w:pStyle w:val="32"/>
        <w:numPr>
          <w:ilvl w:val="0"/>
          <w:numId w:val="5"/>
        </w:numPr>
        <w:spacing w:line="360" w:lineRule="auto"/>
        <w:jc w:val="both"/>
        <w:rPr>
          <w:rFonts w:ascii="Times New Roman" w:hAnsi="Times New Roman"/>
          <w:kern w:val="2"/>
          <w:sz w:val="24"/>
          <w:szCs w:val="21"/>
          <w:lang w:val="en-US" w:eastAsia="zh-CN"/>
        </w:rPr>
      </w:pPr>
      <w:r>
        <w:rPr>
          <w:rFonts w:hint="eastAsia" w:ascii="Times New Roman" w:hAnsi="Times New Roman"/>
          <w:kern w:val="2"/>
          <w:sz w:val="24"/>
          <w:szCs w:val="21"/>
          <w:lang w:val="en-US" w:eastAsia="zh-CN"/>
        </w:rPr>
        <w:t>完成与他们工作有关的安全培训。</w:t>
      </w:r>
    </w:p>
    <w:p>
      <w:pPr>
        <w:pStyle w:val="32"/>
        <w:numPr>
          <w:ilvl w:val="0"/>
          <w:numId w:val="5"/>
        </w:numPr>
        <w:spacing w:line="360" w:lineRule="auto"/>
        <w:jc w:val="both"/>
        <w:rPr>
          <w:rFonts w:ascii="Times New Roman" w:hAnsi="Times New Roman"/>
          <w:kern w:val="2"/>
          <w:sz w:val="24"/>
          <w:szCs w:val="21"/>
          <w:lang w:val="en-US" w:eastAsia="zh-CN"/>
        </w:rPr>
      </w:pPr>
      <w:r>
        <w:rPr>
          <w:rFonts w:hint="eastAsia" w:ascii="Times New Roman" w:hAnsi="Times New Roman"/>
          <w:kern w:val="2"/>
          <w:sz w:val="24"/>
          <w:szCs w:val="21"/>
          <w:lang w:val="en-US" w:eastAsia="zh-CN"/>
        </w:rPr>
        <w:t>完成甲方安全培训后在培训记录上签名确认，表明其完全理解甲方的安全要求及期望。</w:t>
      </w:r>
    </w:p>
    <w:p>
      <w:pPr>
        <w:pStyle w:val="32"/>
        <w:numPr>
          <w:ilvl w:val="0"/>
          <w:numId w:val="5"/>
        </w:numPr>
        <w:spacing w:line="360" w:lineRule="auto"/>
        <w:jc w:val="both"/>
        <w:rPr>
          <w:rFonts w:ascii="Times New Roman" w:hAnsi="Times New Roman"/>
          <w:kern w:val="2"/>
          <w:sz w:val="24"/>
          <w:szCs w:val="21"/>
          <w:lang w:val="en-US" w:eastAsia="zh-CN"/>
        </w:rPr>
      </w:pPr>
      <w:r>
        <w:rPr>
          <w:rFonts w:hint="eastAsia" w:ascii="Times New Roman" w:hAnsi="Times New Roman"/>
          <w:kern w:val="2"/>
          <w:sz w:val="24"/>
          <w:szCs w:val="21"/>
          <w:lang w:val="en-US" w:eastAsia="zh-CN"/>
        </w:rPr>
        <w:t>向甲方项目一方立即汇报任何发现的不安全行为、环境、工伤或事故隐患。</w:t>
      </w:r>
    </w:p>
    <w:p>
      <w:pPr>
        <w:pStyle w:val="32"/>
        <w:numPr>
          <w:ilvl w:val="0"/>
          <w:numId w:val="5"/>
        </w:numPr>
        <w:spacing w:line="360" w:lineRule="auto"/>
        <w:jc w:val="both"/>
        <w:rPr>
          <w:rFonts w:ascii="Times New Roman" w:hAnsi="Times New Roman"/>
          <w:kern w:val="2"/>
          <w:sz w:val="24"/>
          <w:szCs w:val="21"/>
          <w:lang w:val="en-US" w:eastAsia="zh-CN"/>
        </w:rPr>
      </w:pPr>
      <w:r>
        <w:rPr>
          <w:rFonts w:hint="eastAsia" w:ascii="Times New Roman" w:hAnsi="Times New Roman"/>
          <w:kern w:val="2"/>
          <w:sz w:val="24"/>
          <w:szCs w:val="21"/>
          <w:lang w:val="en-US" w:eastAsia="zh-CN"/>
        </w:rPr>
        <w:t>安全进行作业，遵守甲方的安全要求。在进行特种设备操作和特殊作业时，</w:t>
      </w:r>
      <w:r>
        <w:rPr>
          <w:rFonts w:hint="eastAsia"/>
          <w:sz w:val="24"/>
          <w:szCs w:val="21"/>
          <w:lang w:eastAsia="zh-CN"/>
        </w:rPr>
        <w:t>必须在作业前向甲方出示特种作业或特种设备操作人员有效操作或资格证，如高空操作证/电工/电焊工等证书正本，核对无误后，留存操作证复印件。</w:t>
      </w:r>
    </w:p>
    <w:p>
      <w:pPr>
        <w:pStyle w:val="32"/>
        <w:numPr>
          <w:ilvl w:val="0"/>
          <w:numId w:val="5"/>
        </w:numPr>
        <w:spacing w:line="360" w:lineRule="auto"/>
        <w:jc w:val="both"/>
        <w:rPr>
          <w:rFonts w:ascii="Times New Roman" w:hAnsi="Times New Roman"/>
          <w:kern w:val="2"/>
          <w:sz w:val="24"/>
          <w:szCs w:val="21"/>
          <w:lang w:val="en-US" w:eastAsia="zh-CN"/>
        </w:rPr>
      </w:pPr>
      <w:r>
        <w:rPr>
          <w:rFonts w:hint="eastAsia"/>
          <w:sz w:val="24"/>
          <w:szCs w:val="21"/>
          <w:lang w:eastAsia="zh-CN"/>
        </w:rPr>
        <w:t>在进行装修工程或特种服务项目（例如：高空作业、动火作业、电气作业等）应事先向甲方申报，至甲方办理相关申请手续并开具相关作业许可证后方可进行作业，甲方对作业将进行监督</w:t>
      </w:r>
    </w:p>
    <w:p>
      <w:pPr>
        <w:pStyle w:val="32"/>
        <w:numPr>
          <w:ilvl w:val="0"/>
          <w:numId w:val="5"/>
        </w:numPr>
        <w:spacing w:line="360" w:lineRule="auto"/>
        <w:jc w:val="both"/>
        <w:rPr>
          <w:rFonts w:ascii="Times New Roman" w:hAnsi="Times New Roman"/>
          <w:kern w:val="2"/>
          <w:sz w:val="24"/>
          <w:szCs w:val="21"/>
          <w:lang w:val="en-US" w:eastAsia="zh-CN"/>
        </w:rPr>
      </w:pPr>
      <w:r>
        <w:rPr>
          <w:rFonts w:hint="eastAsia" w:ascii="Times New Roman" w:hAnsi="Times New Roman"/>
          <w:kern w:val="2"/>
          <w:sz w:val="24"/>
          <w:szCs w:val="21"/>
          <w:lang w:val="en-US" w:eastAsia="zh-CN"/>
        </w:rPr>
        <w:t>不对甲方的人员及财产形成新的危险。</w:t>
      </w:r>
    </w:p>
    <w:p>
      <w:pPr>
        <w:spacing w:line="360" w:lineRule="auto"/>
        <w:rPr>
          <w:rFonts w:eastAsia="PMingLiU"/>
          <w:sz w:val="24"/>
          <w:szCs w:val="21"/>
          <w:lang w:eastAsia="zh-TW"/>
        </w:rPr>
      </w:pPr>
    </w:p>
    <w:p>
      <w:pPr>
        <w:spacing w:line="360" w:lineRule="auto"/>
        <w:rPr>
          <w:b/>
          <w:sz w:val="24"/>
          <w:szCs w:val="21"/>
        </w:rPr>
      </w:pPr>
      <w:r>
        <w:rPr>
          <w:rFonts w:hint="eastAsia"/>
          <w:b/>
          <w:sz w:val="24"/>
          <w:szCs w:val="21"/>
        </w:rPr>
        <w:t>二、安全责任违约赔偿</w:t>
      </w:r>
    </w:p>
    <w:p>
      <w:pPr>
        <w:autoSpaceDE w:val="0"/>
        <w:autoSpaceDN w:val="0"/>
        <w:adjustRightInd w:val="0"/>
        <w:spacing w:line="360" w:lineRule="auto"/>
        <w:ind w:left="389" w:leftChars="-29" w:hanging="450"/>
        <w:rPr>
          <w:sz w:val="24"/>
          <w:szCs w:val="21"/>
        </w:rPr>
      </w:pPr>
      <w:r>
        <w:rPr>
          <w:rFonts w:hint="eastAsia" w:ascii="宋体" w:hAnsi="宋体"/>
          <w:sz w:val="24"/>
        </w:rPr>
        <w:t>1、</w:t>
      </w:r>
      <w:r>
        <w:rPr>
          <w:rFonts w:hint="eastAsia"/>
          <w:sz w:val="24"/>
          <w:szCs w:val="21"/>
        </w:rPr>
        <w:t>乙方必须严格按照安全作业责任书的相关条款执行，因管理不善，安全措施不力或其他自身原因引起的</w:t>
      </w:r>
      <w:r>
        <w:rPr>
          <w:rFonts w:hint="eastAsia" w:ascii="宋体" w:hAnsi="宋体"/>
          <w:sz w:val="24"/>
        </w:rPr>
        <w:t>人身意外与财产损失，以及由此带给甲方造成的损失或政府部门的处罚，乙方应承担全部责任</w:t>
      </w:r>
      <w:r>
        <w:rPr>
          <w:rFonts w:hint="eastAsia"/>
          <w:sz w:val="24"/>
          <w:szCs w:val="21"/>
        </w:rPr>
        <w:t>。</w:t>
      </w:r>
    </w:p>
    <w:p>
      <w:pPr>
        <w:autoSpaceDE w:val="0"/>
        <w:autoSpaceDN w:val="0"/>
        <w:adjustRightInd w:val="0"/>
        <w:spacing w:line="360" w:lineRule="auto"/>
        <w:rPr>
          <w:rFonts w:ascii="宋体" w:hAnsi="宋体"/>
          <w:sz w:val="24"/>
        </w:rPr>
      </w:pPr>
    </w:p>
    <w:p>
      <w:pPr>
        <w:autoSpaceDE w:val="0"/>
        <w:autoSpaceDN w:val="0"/>
        <w:adjustRightInd w:val="0"/>
        <w:spacing w:line="360" w:lineRule="auto"/>
        <w:rPr>
          <w:rFonts w:ascii="宋体" w:hAnsi="宋体"/>
          <w:sz w:val="24"/>
        </w:rPr>
      </w:pPr>
      <w:r>
        <w:rPr>
          <w:rFonts w:hint="eastAsia"/>
          <w:sz w:val="24"/>
          <w:szCs w:val="21"/>
        </w:rPr>
        <w:t>2.</w:t>
      </w:r>
      <w:r>
        <w:rPr>
          <w:sz w:val="24"/>
          <w:szCs w:val="21"/>
        </w:rPr>
        <w:t xml:space="preserve"> </w:t>
      </w:r>
      <w:r>
        <w:rPr>
          <w:rFonts w:hint="eastAsia"/>
          <w:sz w:val="24"/>
          <w:szCs w:val="21"/>
        </w:rPr>
        <w:t>乙方</w:t>
      </w:r>
      <w:r>
        <w:rPr>
          <w:sz w:val="24"/>
          <w:szCs w:val="21"/>
        </w:rPr>
        <w:t>如违反本责任书规定，给甲方造成经济损失和不良影响，甲方有权要求乙方立即停止</w:t>
      </w:r>
      <w:r>
        <w:rPr>
          <w:rFonts w:hint="eastAsia"/>
          <w:sz w:val="24"/>
          <w:szCs w:val="21"/>
        </w:rPr>
        <w:t>作业，并将根据《供方E</w:t>
      </w:r>
      <w:r>
        <w:rPr>
          <w:sz w:val="24"/>
          <w:szCs w:val="21"/>
        </w:rPr>
        <w:t>HS</w:t>
      </w:r>
      <w:r>
        <w:rPr>
          <w:rFonts w:hint="eastAsia"/>
          <w:sz w:val="24"/>
          <w:szCs w:val="21"/>
        </w:rPr>
        <w:t>考核表》对其做出必要的经济处罚，即每次违约乙方应向甲方支付安全违</w:t>
      </w:r>
      <w:r>
        <w:rPr>
          <w:rFonts w:hint="eastAsia" w:ascii="宋体" w:hAnsi="宋体"/>
          <w:sz w:val="24"/>
        </w:rPr>
        <w:t>约金</w:t>
      </w:r>
      <w:r>
        <w:rPr>
          <w:rFonts w:ascii="宋体" w:hAnsi="宋体"/>
          <w:sz w:val="24"/>
          <w:highlight w:val="yellow"/>
          <w:u w:val="single"/>
        </w:rPr>
        <w:t>5000</w:t>
      </w:r>
      <w:r>
        <w:rPr>
          <w:rFonts w:hint="eastAsia" w:ascii="宋体" w:hAnsi="宋体"/>
          <w:sz w:val="24"/>
        </w:rPr>
        <w:t>元。费用由乙方直接交付或从相关项目服务费中直接扣除。对于直接责任人员，即使公司已经完成扣除违约金手续，以下条款仍适用。</w:t>
      </w:r>
    </w:p>
    <w:p>
      <w:pPr>
        <w:spacing w:line="360" w:lineRule="auto"/>
        <w:ind w:left="810"/>
        <w:rPr>
          <w:rFonts w:ascii="宋体" w:hAnsi="宋体"/>
          <w:sz w:val="24"/>
        </w:rPr>
      </w:pPr>
      <w:r>
        <w:rPr>
          <w:rFonts w:hint="eastAsia" w:ascii="宋体" w:hAnsi="宋体"/>
          <w:sz w:val="24"/>
        </w:rPr>
        <w:t>·</w:t>
      </w:r>
      <w:r>
        <w:rPr>
          <w:rFonts w:ascii="宋体" w:hAnsi="宋体"/>
          <w:sz w:val="24"/>
        </w:rPr>
        <w:tab/>
      </w:r>
      <w:r>
        <w:rPr>
          <w:rFonts w:hint="eastAsia" w:ascii="宋体" w:hAnsi="宋体"/>
          <w:sz w:val="24"/>
        </w:rPr>
        <w:t>一次违反环境健康安全规定</w:t>
      </w:r>
      <w:r>
        <w:rPr>
          <w:rFonts w:ascii="宋体" w:hAnsi="宋体"/>
          <w:sz w:val="24"/>
        </w:rPr>
        <w:t>——</w:t>
      </w:r>
      <w:r>
        <w:rPr>
          <w:rFonts w:hint="eastAsia" w:ascii="宋体" w:hAnsi="宋体"/>
          <w:sz w:val="24"/>
        </w:rPr>
        <w:t>书面警告，并记录在案</w:t>
      </w:r>
    </w:p>
    <w:p>
      <w:pPr>
        <w:spacing w:line="360" w:lineRule="auto"/>
        <w:ind w:left="810"/>
        <w:rPr>
          <w:rFonts w:ascii="宋体" w:hAnsi="宋体"/>
          <w:sz w:val="24"/>
        </w:rPr>
      </w:pPr>
      <w:r>
        <w:rPr>
          <w:rFonts w:hint="eastAsia" w:ascii="宋体" w:hAnsi="宋体"/>
          <w:sz w:val="24"/>
        </w:rPr>
        <w:t>·</w:t>
      </w:r>
      <w:r>
        <w:rPr>
          <w:rFonts w:ascii="宋体" w:hAnsi="宋体"/>
          <w:sz w:val="24"/>
        </w:rPr>
        <w:tab/>
      </w:r>
      <w:r>
        <w:rPr>
          <w:rFonts w:hint="eastAsia" w:ascii="宋体" w:hAnsi="宋体"/>
          <w:sz w:val="24"/>
        </w:rPr>
        <w:t>二次违反环境健康安全规定</w:t>
      </w:r>
      <w:r>
        <w:rPr>
          <w:rFonts w:ascii="宋体" w:hAnsi="宋体"/>
          <w:sz w:val="24"/>
        </w:rPr>
        <w:t>——</w:t>
      </w:r>
      <w:r>
        <w:rPr>
          <w:rFonts w:hint="eastAsia" w:ascii="宋体" w:hAnsi="宋体"/>
          <w:sz w:val="24"/>
        </w:rPr>
        <w:t>书面警告同时停工一周，并记录在案</w:t>
      </w:r>
    </w:p>
    <w:p>
      <w:pPr>
        <w:spacing w:line="360" w:lineRule="auto"/>
        <w:ind w:left="810"/>
        <w:rPr>
          <w:rFonts w:ascii="宋体" w:hAnsi="宋体"/>
          <w:sz w:val="24"/>
        </w:rPr>
      </w:pPr>
      <w:r>
        <w:rPr>
          <w:rFonts w:hint="eastAsia" w:ascii="宋体" w:hAnsi="宋体"/>
          <w:sz w:val="24"/>
        </w:rPr>
        <w:t>·</w:t>
      </w:r>
      <w:r>
        <w:rPr>
          <w:rFonts w:ascii="宋体" w:hAnsi="宋体"/>
          <w:sz w:val="24"/>
        </w:rPr>
        <w:tab/>
      </w:r>
      <w:r>
        <w:rPr>
          <w:rFonts w:hint="eastAsia" w:ascii="宋体" w:hAnsi="宋体"/>
          <w:sz w:val="24"/>
        </w:rPr>
        <w:t>三次违反环境健康安全规定</w:t>
      </w:r>
      <w:r>
        <w:rPr>
          <w:rFonts w:ascii="宋体" w:hAnsi="宋体"/>
          <w:sz w:val="24"/>
        </w:rPr>
        <w:t>——</w:t>
      </w:r>
      <w:r>
        <w:rPr>
          <w:rFonts w:hint="eastAsia" w:ascii="宋体" w:hAnsi="宋体"/>
          <w:sz w:val="24"/>
        </w:rPr>
        <w:t>必须离开作业现场</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3. 乙方如严重违反本责任规定，甲方有权立刻终止相关服务合同，而不作任何赔偿。</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本责任书由甲方和乙方负责人共同监督执行。</w:t>
      </w:r>
    </w:p>
    <w:p>
      <w:pPr>
        <w:spacing w:line="360" w:lineRule="auto"/>
        <w:rPr>
          <w:rFonts w:ascii="宋体" w:hAnsi="宋体"/>
          <w:b/>
          <w:sz w:val="24"/>
        </w:rPr>
      </w:pPr>
      <w:r>
        <w:rPr>
          <w:rFonts w:hint="eastAsia" w:ascii="宋体" w:hAnsi="宋体"/>
          <w:sz w:val="24"/>
        </w:rPr>
        <w:t>本责任书作为服务合同补充条款自签订之日起生效，合同结束责任书终止。</w:t>
      </w:r>
    </w:p>
    <w:p>
      <w:pPr>
        <w:spacing w:line="360" w:lineRule="auto"/>
        <w:ind w:firstLine="480" w:firstLineChars="200"/>
        <w:rPr>
          <w:rFonts w:ascii="宋体" w:hAnsi="宋体"/>
          <w:sz w:val="24"/>
        </w:rPr>
      </w:pPr>
      <w:r>
        <w:rPr>
          <w:rFonts w:ascii="宋体" w:hAnsi="宋体"/>
          <w:sz w:val="24"/>
        </w:rPr>
        <w:t>　</w:t>
      </w:r>
    </w:p>
    <w:p>
      <w:pPr>
        <w:spacing w:line="360" w:lineRule="auto"/>
        <w:ind w:firstLine="472" w:firstLineChars="196"/>
        <w:rPr>
          <w:rFonts w:ascii="宋体" w:hAnsi="宋体"/>
          <w:sz w:val="24"/>
        </w:rPr>
      </w:pPr>
      <w:r>
        <w:rPr>
          <w:rFonts w:ascii="宋体" w:hAnsi="宋体"/>
          <w:b/>
          <w:sz w:val="24"/>
        </w:rPr>
        <w:t>甲方</w:t>
      </w:r>
      <w:r>
        <w:rPr>
          <w:rFonts w:ascii="宋体" w:hAnsi="宋体"/>
          <w:sz w:val="24"/>
        </w:rPr>
        <w:t>：</w:t>
      </w:r>
      <w:r>
        <w:rPr>
          <w:rFonts w:hint="eastAsia" w:ascii="宋体" w:hAnsi="宋体"/>
          <w:sz w:val="24"/>
        </w:rPr>
        <w:t xml:space="preserve">                               </w:t>
      </w:r>
      <w:r>
        <w:rPr>
          <w:rFonts w:hint="eastAsia" w:ascii="宋体" w:hAnsi="宋体"/>
          <w:b/>
          <w:sz w:val="24"/>
        </w:rPr>
        <w:t>乙</w:t>
      </w:r>
      <w:r>
        <w:rPr>
          <w:rFonts w:ascii="宋体" w:hAnsi="宋体"/>
          <w:b/>
          <w:sz w:val="24"/>
        </w:rPr>
        <w:t>方</w:t>
      </w:r>
      <w:r>
        <w:rPr>
          <w:rFonts w:ascii="宋体" w:hAnsi="宋体"/>
          <w:sz w:val="24"/>
        </w:rPr>
        <w:t>：</w:t>
      </w:r>
      <w:r>
        <w:rPr>
          <w:rFonts w:hint="eastAsia" w:ascii="宋体" w:hAnsi="宋体"/>
          <w:sz w:val="24"/>
        </w:rPr>
        <w:t xml:space="preserve">                   </w:t>
      </w:r>
    </w:p>
    <w:p>
      <w:pPr>
        <w:spacing w:line="360" w:lineRule="auto"/>
        <w:ind w:left="470" w:leftChars="224"/>
        <w:rPr>
          <w:rFonts w:hint="eastAsia" w:ascii="宋体" w:hAnsi="宋体" w:eastAsia="宋体"/>
          <w:sz w:val="24"/>
          <w:lang w:eastAsia="zh-CN"/>
        </w:rPr>
      </w:pPr>
      <w:r>
        <w:rPr>
          <w:rFonts w:hint="eastAsia" w:ascii="宋体" w:hAnsi="宋体"/>
          <w:b/>
          <w:sz w:val="24"/>
        </w:rPr>
        <w:t>负责人</w:t>
      </w:r>
      <w:r>
        <w:rPr>
          <w:rFonts w:hint="eastAsia" w:ascii="宋体" w:hAnsi="宋体"/>
          <w:sz w:val="24"/>
        </w:rPr>
        <w:t xml:space="preserve">：                             </w:t>
      </w:r>
      <w:r>
        <w:rPr>
          <w:rFonts w:hint="eastAsia" w:ascii="宋体" w:hAnsi="宋体"/>
          <w:b/>
          <w:sz w:val="24"/>
        </w:rPr>
        <w:t>负责人</w:t>
      </w:r>
      <w:r>
        <w:rPr>
          <w:rFonts w:hint="eastAsia" w:ascii="宋体" w:hAnsi="宋体"/>
          <w:sz w:val="24"/>
        </w:rPr>
        <w:t>：</w:t>
      </w:r>
    </w:p>
    <w:p>
      <w:pPr>
        <w:spacing w:line="360" w:lineRule="auto"/>
        <w:ind w:left="470" w:leftChars="224"/>
        <w:rPr>
          <w:rFonts w:ascii="宋体" w:hAnsi="宋体"/>
          <w:sz w:val="24"/>
        </w:rPr>
      </w:pPr>
      <w:r>
        <w:rPr>
          <w:rFonts w:ascii="宋体" w:hAnsi="宋体"/>
          <w:b/>
          <w:sz w:val="24"/>
        </w:rPr>
        <w:t>日</w:t>
      </w:r>
      <w:r>
        <w:rPr>
          <w:rFonts w:hint="eastAsia" w:ascii="宋体" w:hAnsi="宋体"/>
          <w:b/>
          <w:sz w:val="24"/>
        </w:rPr>
        <w:t xml:space="preserve">  </w:t>
      </w:r>
      <w:r>
        <w:rPr>
          <w:rFonts w:ascii="宋体" w:hAnsi="宋体"/>
          <w:b/>
          <w:sz w:val="24"/>
        </w:rPr>
        <w:t>期</w:t>
      </w:r>
      <w:r>
        <w:rPr>
          <w:rFonts w:ascii="宋体" w:hAnsi="宋体"/>
          <w:sz w:val="24"/>
        </w:rPr>
        <w:t>：</w:t>
      </w:r>
      <w:r>
        <w:rPr>
          <w:rFonts w:hint="eastAsia" w:ascii="宋体" w:hAnsi="宋体"/>
          <w:sz w:val="24"/>
        </w:rPr>
        <w:t xml:space="preserve">     年  月  日              </w:t>
      </w:r>
      <w:r>
        <w:rPr>
          <w:rFonts w:ascii="宋体" w:hAnsi="宋体"/>
          <w:b/>
          <w:sz w:val="24"/>
        </w:rPr>
        <w:t>日</w:t>
      </w:r>
      <w:r>
        <w:rPr>
          <w:rFonts w:hint="eastAsia" w:ascii="宋体" w:hAnsi="宋体"/>
          <w:b/>
          <w:sz w:val="24"/>
        </w:rPr>
        <w:t xml:space="preserve">  </w:t>
      </w:r>
      <w:r>
        <w:rPr>
          <w:rFonts w:ascii="宋体" w:hAnsi="宋体"/>
          <w:b/>
          <w:sz w:val="24"/>
        </w:rPr>
        <w:t>期</w:t>
      </w:r>
      <w:r>
        <w:rPr>
          <w:rFonts w:ascii="宋体" w:hAnsi="宋体"/>
          <w:sz w:val="24"/>
        </w:rPr>
        <w:t>：</w:t>
      </w:r>
      <w:r>
        <w:rPr>
          <w:rFonts w:hint="eastAsia" w:ascii="宋体" w:hAnsi="宋体"/>
          <w:sz w:val="24"/>
          <w:lang w:val="en-US" w:eastAsia="zh-CN"/>
        </w:rPr>
        <w:t>2022</w:t>
      </w:r>
      <w:r>
        <w:rPr>
          <w:rFonts w:hint="eastAsia" w:ascii="宋体" w:hAnsi="宋体"/>
          <w:sz w:val="24"/>
        </w:rPr>
        <w:t>年</w:t>
      </w:r>
      <w:r>
        <w:rPr>
          <w:rFonts w:hint="eastAsia" w:ascii="宋体" w:hAnsi="宋体"/>
          <w:sz w:val="24"/>
          <w:lang w:val="en-US" w:eastAsia="zh-CN"/>
        </w:rPr>
        <w:t>6</w:t>
      </w:r>
      <w:r>
        <w:rPr>
          <w:rFonts w:hint="eastAsia" w:ascii="宋体" w:hAnsi="宋体"/>
          <w:sz w:val="24"/>
        </w:rPr>
        <w:t xml:space="preserve"> 月</w:t>
      </w:r>
      <w:r>
        <w:rPr>
          <w:rFonts w:hint="eastAsia" w:ascii="宋体" w:hAnsi="宋体"/>
          <w:sz w:val="24"/>
          <w:lang w:val="en-US" w:eastAsia="zh-CN"/>
        </w:rPr>
        <w:t>29</w:t>
      </w:r>
      <w:bookmarkStart w:id="6" w:name="_GoBack"/>
      <w:bookmarkEnd w:id="6"/>
      <w:r>
        <w:rPr>
          <w:rFonts w:hint="eastAsia" w:ascii="宋体" w:hAnsi="宋体"/>
          <w:sz w:val="24"/>
        </w:rPr>
        <w:t xml:space="preserve"> 日</w:t>
      </w:r>
    </w:p>
    <w:p>
      <w:pPr>
        <w:pStyle w:val="32"/>
        <w:spacing w:line="360" w:lineRule="auto"/>
        <w:jc w:val="center"/>
        <w:rPr>
          <w:rFonts w:ascii="宋体" w:hAnsi="宋体"/>
          <w:b/>
          <w:color w:val="000000"/>
          <w:sz w:val="40"/>
          <w:szCs w:val="28"/>
          <w:lang w:eastAsia="zh-CN"/>
        </w:rPr>
      </w:pPr>
    </w:p>
    <w:p>
      <w:pPr>
        <w:spacing w:line="360" w:lineRule="auto"/>
        <w:rPr>
          <w:rFonts w:ascii="宋体"/>
          <w:b/>
        </w:rPr>
      </w:pPr>
    </w:p>
    <w:sectPr>
      <w:headerReference r:id="rId3" w:type="default"/>
      <w:footerReference r:id="rId4" w:type="default"/>
      <w:pgSz w:w="11906" w:h="16838"/>
      <w:pgMar w:top="936"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ITCCentury BookCond">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华文细黑">
    <w:panose1 w:val="02010600040101010101"/>
    <w:charset w:val="86"/>
    <w:family w:val="auto"/>
    <w:pitch w:val="default"/>
    <w:sig w:usb0="00000287" w:usb1="080F0000" w:usb2="00000000" w:usb3="00000000" w:csb0="0004009F" w:csb1="DFD7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tbl>
    <w:tblPr>
      <w:tblStyle w:val="16"/>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2542"/>
      <w:gridCol w:w="2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exact"/>
        <w:jc w:val="center"/>
      </w:trPr>
      <w:tc>
        <w:tcPr>
          <w:tcW w:w="3930" w:type="dxa"/>
          <w:tcBorders>
            <w:top w:val="single" w:color="auto" w:sz="4" w:space="0"/>
            <w:left w:val="nil"/>
            <w:bottom w:val="single" w:color="auto" w:sz="4" w:space="0"/>
            <w:right w:val="single" w:color="auto" w:sz="4" w:space="0"/>
          </w:tcBorders>
          <w:vAlign w:val="center"/>
        </w:tcPr>
        <w:p>
          <w:pPr>
            <w:rPr>
              <w:rFonts w:ascii="黑体" w:hAnsi="黑体" w:eastAsia="黑体" w:cs="黑体"/>
              <w:sz w:val="18"/>
              <w:szCs w:val="18"/>
            </w:rPr>
          </w:pPr>
          <w:r>
            <w:rPr>
              <w:rFonts w:hint="eastAsia" w:ascii="黑体" w:hAnsi="黑体" w:eastAsia="黑体"/>
              <w:sz w:val="18"/>
              <w:szCs w:val="18"/>
            </w:rPr>
            <w:t>编号：VS</w:t>
          </w:r>
          <w:r>
            <w:rPr>
              <w:rFonts w:ascii="黑体" w:hAnsi="黑体" w:eastAsia="黑体"/>
              <w:sz w:val="18"/>
              <w:szCs w:val="18"/>
            </w:rPr>
            <w:t>CW</w:t>
          </w:r>
          <w:r>
            <w:rPr>
              <w:rFonts w:hint="eastAsia" w:ascii="黑体" w:hAnsi="黑体" w:eastAsia="黑体"/>
              <w:sz w:val="18"/>
              <w:szCs w:val="18"/>
            </w:rPr>
            <w:t>-FC-16-V</w:t>
          </w:r>
          <w:r>
            <w:rPr>
              <w:rFonts w:ascii="黑体" w:hAnsi="黑体" w:eastAsia="黑体"/>
              <w:sz w:val="18"/>
              <w:szCs w:val="18"/>
            </w:rPr>
            <w:t>2</w:t>
          </w:r>
          <w:r>
            <w:rPr>
              <w:rFonts w:hint="eastAsia" w:ascii="黑体" w:hAnsi="黑体" w:eastAsia="黑体"/>
              <w:sz w:val="18"/>
              <w:szCs w:val="18"/>
            </w:rPr>
            <w:t>-□-□-□</w:t>
          </w:r>
        </w:p>
      </w:tc>
      <w:tc>
        <w:tcPr>
          <w:tcW w:w="2542" w:type="dxa"/>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2526" w:type="dxa"/>
          <w:tcBorders>
            <w:top w:val="single" w:color="auto" w:sz="4" w:space="0"/>
            <w:left w:val="single" w:color="auto" w:sz="4" w:space="0"/>
            <w:bottom w:val="single" w:color="auto" w:sz="4" w:space="0"/>
            <w:right w:val="nil"/>
          </w:tcBorders>
          <w:vAlign w:val="center"/>
        </w:tcPr>
        <w:p>
          <w:pPr>
            <w:rPr>
              <w:rFonts w:ascii="黑体" w:hAnsi="黑体" w:eastAsia="黑体" w:cs="黑体"/>
              <w:sz w:val="18"/>
              <w:szCs w:val="18"/>
            </w:rPr>
          </w:pPr>
          <w:r>
            <w:rPr>
              <w:rFonts w:hint="eastAsia" w:ascii="黑体" w:hAnsi="黑体" w:eastAsia="黑体"/>
              <w:sz w:val="18"/>
              <w:szCs w:val="18"/>
            </w:rPr>
            <w:t>页码：第</w:t>
          </w:r>
          <w:r>
            <w:rPr>
              <w:rStyle w:val="19"/>
              <w:rFonts w:hint="eastAsia" w:ascii="黑体" w:hAnsi="黑体" w:eastAsia="黑体"/>
              <w:sz w:val="18"/>
              <w:szCs w:val="18"/>
            </w:rPr>
            <w:fldChar w:fldCharType="begin"/>
          </w:r>
          <w:r>
            <w:rPr>
              <w:rStyle w:val="19"/>
              <w:rFonts w:hint="eastAsia" w:ascii="黑体" w:hAnsi="黑体" w:eastAsia="黑体"/>
              <w:sz w:val="18"/>
              <w:szCs w:val="18"/>
            </w:rPr>
            <w:instrText xml:space="preserve"> PAGE </w:instrText>
          </w:r>
          <w:r>
            <w:rPr>
              <w:rStyle w:val="19"/>
              <w:rFonts w:hint="eastAsia" w:ascii="黑体" w:hAnsi="黑体" w:eastAsia="黑体"/>
              <w:sz w:val="18"/>
              <w:szCs w:val="18"/>
            </w:rPr>
            <w:fldChar w:fldCharType="separate"/>
          </w:r>
          <w:r>
            <w:rPr>
              <w:rStyle w:val="19"/>
              <w:rFonts w:ascii="黑体" w:hAnsi="黑体" w:eastAsia="黑体"/>
              <w:sz w:val="18"/>
              <w:szCs w:val="18"/>
            </w:rPr>
            <w:t>8</w:t>
          </w:r>
          <w:r>
            <w:rPr>
              <w:rStyle w:val="19"/>
              <w:rFonts w:hint="eastAsia" w:ascii="黑体" w:hAnsi="黑体" w:eastAsia="黑体"/>
              <w:sz w:val="18"/>
              <w:szCs w:val="18"/>
            </w:rPr>
            <w:fldChar w:fldCharType="end"/>
          </w:r>
          <w:r>
            <w:rPr>
              <w:rStyle w:val="19"/>
              <w:rFonts w:hint="eastAsia" w:ascii="黑体" w:hAnsi="黑体" w:eastAsia="黑体"/>
              <w:sz w:val="18"/>
              <w:szCs w:val="18"/>
            </w:rPr>
            <w:t>页 共1</w:t>
          </w:r>
          <w:r>
            <w:rPr>
              <w:rStyle w:val="19"/>
              <w:rFonts w:ascii="黑体" w:hAnsi="黑体" w:eastAsia="黑体"/>
              <w:sz w:val="18"/>
              <w:szCs w:val="18"/>
            </w:rPr>
            <w:t>6</w:t>
          </w:r>
          <w:r>
            <w:rPr>
              <w:rStyle w:val="19"/>
              <w:rFonts w:hint="eastAsia" w:ascii="黑体" w:hAnsi="黑体" w:eastAsia="黑体"/>
              <w:sz w:val="18"/>
              <w:szCs w:val="18"/>
            </w:rPr>
            <w:t>页</w:t>
          </w:r>
        </w:p>
      </w:tc>
    </w:tr>
  </w:tbl>
  <w:p>
    <w:pPr>
      <w:pStyle w:val="1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BD25CE"/>
    <w:multiLevelType w:val="multilevel"/>
    <w:tmpl w:val="36BD25C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Symbol" w:hAnsi="Symbol"/>
        <w:color w:val="auto"/>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88C0927"/>
    <w:multiLevelType w:val="multilevel"/>
    <w:tmpl w:val="388C092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Symbol" w:hAnsi="Symbol"/>
        <w:color w:val="auto"/>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DAE036E"/>
    <w:multiLevelType w:val="multilevel"/>
    <w:tmpl w:val="3DAE036E"/>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C97908"/>
    <w:multiLevelType w:val="multilevel"/>
    <w:tmpl w:val="4CC97908"/>
    <w:lvl w:ilvl="0" w:tentative="0">
      <w:start w:val="1"/>
      <w:numFmt w:val="bullet"/>
      <w:lvlText w:val=""/>
      <w:lvlJc w:val="left"/>
      <w:pPr>
        <w:ind w:left="360" w:hanging="36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77A3071E"/>
    <w:multiLevelType w:val="multilevel"/>
    <w:tmpl w:val="77A3071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Symbol" w:hAnsi="Symbol"/>
        <w:color w:val="auto"/>
      </w:rPr>
    </w:lvl>
    <w:lvl w:ilvl="2" w:tentative="0">
      <w:start w:val="1"/>
      <w:numFmt w:val="bullet"/>
      <w:lvlText w:val=""/>
      <w:lvlJc w:val="left"/>
      <w:pPr>
        <w:ind w:left="1260" w:hanging="420"/>
      </w:pPr>
      <w:rPr>
        <w:rFonts w:hint="default" w:ascii="Symbol" w:hAnsi="Symbol"/>
        <w:color w:val="auto"/>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hNmZiYWY0MDA4ZDVjNTRhNGRmZWE1NTc4MmY2NzMifQ=="/>
  </w:docVars>
  <w:rsids>
    <w:rsidRoot w:val="006D20BC"/>
    <w:rsid w:val="00002E7B"/>
    <w:rsid w:val="00003044"/>
    <w:rsid w:val="000219B6"/>
    <w:rsid w:val="00021C8E"/>
    <w:rsid w:val="00025D16"/>
    <w:rsid w:val="00040F05"/>
    <w:rsid w:val="00041AC9"/>
    <w:rsid w:val="00041AD6"/>
    <w:rsid w:val="00053307"/>
    <w:rsid w:val="000617C3"/>
    <w:rsid w:val="00062653"/>
    <w:rsid w:val="00067F40"/>
    <w:rsid w:val="00093033"/>
    <w:rsid w:val="0009682B"/>
    <w:rsid w:val="000C0D96"/>
    <w:rsid w:val="000E0EDA"/>
    <w:rsid w:val="000E5230"/>
    <w:rsid w:val="000F5FB7"/>
    <w:rsid w:val="00106436"/>
    <w:rsid w:val="001125F0"/>
    <w:rsid w:val="001151BD"/>
    <w:rsid w:val="00117B30"/>
    <w:rsid w:val="00123DD2"/>
    <w:rsid w:val="0014682D"/>
    <w:rsid w:val="001504A3"/>
    <w:rsid w:val="0015705B"/>
    <w:rsid w:val="0017490C"/>
    <w:rsid w:val="00175F38"/>
    <w:rsid w:val="0017760B"/>
    <w:rsid w:val="00191600"/>
    <w:rsid w:val="001A2836"/>
    <w:rsid w:val="001A3BA4"/>
    <w:rsid w:val="001B0E7D"/>
    <w:rsid w:val="001B2053"/>
    <w:rsid w:val="001B3706"/>
    <w:rsid w:val="001B7287"/>
    <w:rsid w:val="001D080F"/>
    <w:rsid w:val="001D33FE"/>
    <w:rsid w:val="001D3FAD"/>
    <w:rsid w:val="001E4030"/>
    <w:rsid w:val="001F33F3"/>
    <w:rsid w:val="001F5856"/>
    <w:rsid w:val="001F737C"/>
    <w:rsid w:val="00204F5E"/>
    <w:rsid w:val="00212564"/>
    <w:rsid w:val="00215ACC"/>
    <w:rsid w:val="002214F6"/>
    <w:rsid w:val="00225177"/>
    <w:rsid w:val="002325CE"/>
    <w:rsid w:val="00237B96"/>
    <w:rsid w:val="00242B5A"/>
    <w:rsid w:val="00251F1C"/>
    <w:rsid w:val="002729DD"/>
    <w:rsid w:val="002779BA"/>
    <w:rsid w:val="00277BE7"/>
    <w:rsid w:val="00282D16"/>
    <w:rsid w:val="00292C3E"/>
    <w:rsid w:val="00295263"/>
    <w:rsid w:val="002972BE"/>
    <w:rsid w:val="002A3F9C"/>
    <w:rsid w:val="002B7EBD"/>
    <w:rsid w:val="002C4B1B"/>
    <w:rsid w:val="002E2474"/>
    <w:rsid w:val="002E5502"/>
    <w:rsid w:val="002F3E1D"/>
    <w:rsid w:val="002F7977"/>
    <w:rsid w:val="00315821"/>
    <w:rsid w:val="003212F1"/>
    <w:rsid w:val="00323576"/>
    <w:rsid w:val="00360617"/>
    <w:rsid w:val="003662FC"/>
    <w:rsid w:val="00367C4F"/>
    <w:rsid w:val="00370995"/>
    <w:rsid w:val="00375180"/>
    <w:rsid w:val="00384758"/>
    <w:rsid w:val="00392675"/>
    <w:rsid w:val="003929A1"/>
    <w:rsid w:val="003A286A"/>
    <w:rsid w:val="003A7387"/>
    <w:rsid w:val="003C2501"/>
    <w:rsid w:val="003C271D"/>
    <w:rsid w:val="003C2CC5"/>
    <w:rsid w:val="003C31E2"/>
    <w:rsid w:val="003C7A6F"/>
    <w:rsid w:val="003D47F0"/>
    <w:rsid w:val="003D6D73"/>
    <w:rsid w:val="003F2B6D"/>
    <w:rsid w:val="003F418C"/>
    <w:rsid w:val="00406B90"/>
    <w:rsid w:val="00411D1B"/>
    <w:rsid w:val="004251EE"/>
    <w:rsid w:val="00426508"/>
    <w:rsid w:val="00426D77"/>
    <w:rsid w:val="00426EF8"/>
    <w:rsid w:val="00435145"/>
    <w:rsid w:val="00441ECD"/>
    <w:rsid w:val="00444327"/>
    <w:rsid w:val="004464B6"/>
    <w:rsid w:val="00450593"/>
    <w:rsid w:val="004562BF"/>
    <w:rsid w:val="0046110D"/>
    <w:rsid w:val="00464379"/>
    <w:rsid w:val="00470F8A"/>
    <w:rsid w:val="004718D4"/>
    <w:rsid w:val="0047311B"/>
    <w:rsid w:val="004773AF"/>
    <w:rsid w:val="00482D0E"/>
    <w:rsid w:val="004A74BF"/>
    <w:rsid w:val="004B110F"/>
    <w:rsid w:val="004C4E23"/>
    <w:rsid w:val="004D66B9"/>
    <w:rsid w:val="004E0FBB"/>
    <w:rsid w:val="004E53B3"/>
    <w:rsid w:val="004F6885"/>
    <w:rsid w:val="004F7610"/>
    <w:rsid w:val="005025AD"/>
    <w:rsid w:val="0051519E"/>
    <w:rsid w:val="005274BB"/>
    <w:rsid w:val="00541B61"/>
    <w:rsid w:val="00544774"/>
    <w:rsid w:val="00551D45"/>
    <w:rsid w:val="00556F38"/>
    <w:rsid w:val="00572A72"/>
    <w:rsid w:val="00584752"/>
    <w:rsid w:val="00593DEF"/>
    <w:rsid w:val="005A25D3"/>
    <w:rsid w:val="005C2202"/>
    <w:rsid w:val="005D3208"/>
    <w:rsid w:val="005E3488"/>
    <w:rsid w:val="005F0143"/>
    <w:rsid w:val="005F5BC4"/>
    <w:rsid w:val="00613449"/>
    <w:rsid w:val="00614177"/>
    <w:rsid w:val="00633D08"/>
    <w:rsid w:val="00660153"/>
    <w:rsid w:val="00660D74"/>
    <w:rsid w:val="0067226B"/>
    <w:rsid w:val="006750FB"/>
    <w:rsid w:val="006846D2"/>
    <w:rsid w:val="006945BC"/>
    <w:rsid w:val="006A181A"/>
    <w:rsid w:val="006B5BB6"/>
    <w:rsid w:val="006C7685"/>
    <w:rsid w:val="006D20BC"/>
    <w:rsid w:val="006D50A5"/>
    <w:rsid w:val="0070203F"/>
    <w:rsid w:val="007053AF"/>
    <w:rsid w:val="00716BA1"/>
    <w:rsid w:val="00726B21"/>
    <w:rsid w:val="00730AE8"/>
    <w:rsid w:val="0074256A"/>
    <w:rsid w:val="007729AF"/>
    <w:rsid w:val="00794A99"/>
    <w:rsid w:val="00794B73"/>
    <w:rsid w:val="007B297F"/>
    <w:rsid w:val="007B38E5"/>
    <w:rsid w:val="007C63DB"/>
    <w:rsid w:val="007D13A6"/>
    <w:rsid w:val="007D5986"/>
    <w:rsid w:val="007F7CFD"/>
    <w:rsid w:val="00804E79"/>
    <w:rsid w:val="00814D1B"/>
    <w:rsid w:val="00817A08"/>
    <w:rsid w:val="00834CD1"/>
    <w:rsid w:val="008368C7"/>
    <w:rsid w:val="00845262"/>
    <w:rsid w:val="0084702B"/>
    <w:rsid w:val="008563FC"/>
    <w:rsid w:val="008609BB"/>
    <w:rsid w:val="00861C36"/>
    <w:rsid w:val="00866631"/>
    <w:rsid w:val="00876B0F"/>
    <w:rsid w:val="00882926"/>
    <w:rsid w:val="00883624"/>
    <w:rsid w:val="00884AE8"/>
    <w:rsid w:val="00887CC0"/>
    <w:rsid w:val="00896EB2"/>
    <w:rsid w:val="008975A8"/>
    <w:rsid w:val="008A0935"/>
    <w:rsid w:val="008A3C08"/>
    <w:rsid w:val="008B30CE"/>
    <w:rsid w:val="008C3B1A"/>
    <w:rsid w:val="008E0355"/>
    <w:rsid w:val="008E7AEB"/>
    <w:rsid w:val="00900EC8"/>
    <w:rsid w:val="00907EBA"/>
    <w:rsid w:val="009361D7"/>
    <w:rsid w:val="009503F9"/>
    <w:rsid w:val="00965E60"/>
    <w:rsid w:val="00967B35"/>
    <w:rsid w:val="009779CA"/>
    <w:rsid w:val="009842AB"/>
    <w:rsid w:val="00987E56"/>
    <w:rsid w:val="0099472D"/>
    <w:rsid w:val="00994C79"/>
    <w:rsid w:val="009A0404"/>
    <w:rsid w:val="009A08A6"/>
    <w:rsid w:val="009A13C0"/>
    <w:rsid w:val="009A58E3"/>
    <w:rsid w:val="009B2FA6"/>
    <w:rsid w:val="009B6471"/>
    <w:rsid w:val="009B7206"/>
    <w:rsid w:val="009D021A"/>
    <w:rsid w:val="009D331F"/>
    <w:rsid w:val="009D5418"/>
    <w:rsid w:val="009E5E4F"/>
    <w:rsid w:val="00A03E67"/>
    <w:rsid w:val="00A07EE8"/>
    <w:rsid w:val="00A103DA"/>
    <w:rsid w:val="00A10DE7"/>
    <w:rsid w:val="00A2067A"/>
    <w:rsid w:val="00A23F97"/>
    <w:rsid w:val="00A24483"/>
    <w:rsid w:val="00A33AD7"/>
    <w:rsid w:val="00A53632"/>
    <w:rsid w:val="00A626B8"/>
    <w:rsid w:val="00A62A6F"/>
    <w:rsid w:val="00A753B3"/>
    <w:rsid w:val="00A8208F"/>
    <w:rsid w:val="00A906D9"/>
    <w:rsid w:val="00AC0415"/>
    <w:rsid w:val="00AD6C28"/>
    <w:rsid w:val="00AF5BC3"/>
    <w:rsid w:val="00AF60B6"/>
    <w:rsid w:val="00AF7E24"/>
    <w:rsid w:val="00B127D0"/>
    <w:rsid w:val="00B35075"/>
    <w:rsid w:val="00B55720"/>
    <w:rsid w:val="00B64D8A"/>
    <w:rsid w:val="00B65249"/>
    <w:rsid w:val="00B74EBF"/>
    <w:rsid w:val="00B819D4"/>
    <w:rsid w:val="00B911CB"/>
    <w:rsid w:val="00BA46EC"/>
    <w:rsid w:val="00BA5F78"/>
    <w:rsid w:val="00BB5E19"/>
    <w:rsid w:val="00BC0149"/>
    <w:rsid w:val="00BC6DC1"/>
    <w:rsid w:val="00BD5AE6"/>
    <w:rsid w:val="00BE7521"/>
    <w:rsid w:val="00BF321A"/>
    <w:rsid w:val="00C066AB"/>
    <w:rsid w:val="00C10D3B"/>
    <w:rsid w:val="00C12291"/>
    <w:rsid w:val="00C35376"/>
    <w:rsid w:val="00C371F2"/>
    <w:rsid w:val="00C37A52"/>
    <w:rsid w:val="00C50562"/>
    <w:rsid w:val="00C533CC"/>
    <w:rsid w:val="00C57935"/>
    <w:rsid w:val="00C62FB1"/>
    <w:rsid w:val="00C739FF"/>
    <w:rsid w:val="00C77664"/>
    <w:rsid w:val="00C83A9A"/>
    <w:rsid w:val="00C866C3"/>
    <w:rsid w:val="00C97609"/>
    <w:rsid w:val="00CB2260"/>
    <w:rsid w:val="00CB7A8D"/>
    <w:rsid w:val="00CC0639"/>
    <w:rsid w:val="00CC11AE"/>
    <w:rsid w:val="00CC78A8"/>
    <w:rsid w:val="00CD0632"/>
    <w:rsid w:val="00CE0B62"/>
    <w:rsid w:val="00CE11EF"/>
    <w:rsid w:val="00CF16BC"/>
    <w:rsid w:val="00CF7F7D"/>
    <w:rsid w:val="00D066DD"/>
    <w:rsid w:val="00D14F18"/>
    <w:rsid w:val="00D2363B"/>
    <w:rsid w:val="00D24971"/>
    <w:rsid w:val="00D36261"/>
    <w:rsid w:val="00D36E14"/>
    <w:rsid w:val="00D4259E"/>
    <w:rsid w:val="00D43574"/>
    <w:rsid w:val="00D50970"/>
    <w:rsid w:val="00D51C40"/>
    <w:rsid w:val="00D545C2"/>
    <w:rsid w:val="00D558C8"/>
    <w:rsid w:val="00D5668D"/>
    <w:rsid w:val="00D936E7"/>
    <w:rsid w:val="00DD2876"/>
    <w:rsid w:val="00DD68B2"/>
    <w:rsid w:val="00DE3E1C"/>
    <w:rsid w:val="00DF5B51"/>
    <w:rsid w:val="00DF5CC6"/>
    <w:rsid w:val="00DF5D0B"/>
    <w:rsid w:val="00E02B4A"/>
    <w:rsid w:val="00E21877"/>
    <w:rsid w:val="00E24306"/>
    <w:rsid w:val="00E26DA4"/>
    <w:rsid w:val="00E42AE0"/>
    <w:rsid w:val="00E42B80"/>
    <w:rsid w:val="00E635ED"/>
    <w:rsid w:val="00E824B1"/>
    <w:rsid w:val="00EA1D95"/>
    <w:rsid w:val="00EC4A4A"/>
    <w:rsid w:val="00EC4FEA"/>
    <w:rsid w:val="00ED14BB"/>
    <w:rsid w:val="00EE4523"/>
    <w:rsid w:val="00EE4836"/>
    <w:rsid w:val="00EE5DC1"/>
    <w:rsid w:val="00EF09E5"/>
    <w:rsid w:val="00EF4989"/>
    <w:rsid w:val="00EF7B7B"/>
    <w:rsid w:val="00F00452"/>
    <w:rsid w:val="00F07ED1"/>
    <w:rsid w:val="00F140AF"/>
    <w:rsid w:val="00F24D0A"/>
    <w:rsid w:val="00F356A9"/>
    <w:rsid w:val="00F739CD"/>
    <w:rsid w:val="00F81E3E"/>
    <w:rsid w:val="00F94F7E"/>
    <w:rsid w:val="00F95D58"/>
    <w:rsid w:val="00F966BB"/>
    <w:rsid w:val="00F977E7"/>
    <w:rsid w:val="00FA3A94"/>
    <w:rsid w:val="00FA4BFC"/>
    <w:rsid w:val="00FB28B4"/>
    <w:rsid w:val="00FB6833"/>
    <w:rsid w:val="00FC7DF0"/>
    <w:rsid w:val="00FD77D0"/>
    <w:rsid w:val="00FE4B89"/>
    <w:rsid w:val="03F8117D"/>
    <w:rsid w:val="063474D1"/>
    <w:rsid w:val="063D338D"/>
    <w:rsid w:val="0E8D3586"/>
    <w:rsid w:val="13DA58D2"/>
    <w:rsid w:val="1600434D"/>
    <w:rsid w:val="27C736DB"/>
    <w:rsid w:val="29AE0F6F"/>
    <w:rsid w:val="2D7501DD"/>
    <w:rsid w:val="2FE9546C"/>
    <w:rsid w:val="3B20253F"/>
    <w:rsid w:val="4E08307F"/>
    <w:rsid w:val="500A6737"/>
    <w:rsid w:val="5A221EFA"/>
    <w:rsid w:val="64E005EE"/>
    <w:rsid w:val="66FE7026"/>
    <w:rsid w:val="711016A2"/>
    <w:rsid w:val="740F2FDF"/>
    <w:rsid w:val="7603038E"/>
    <w:rsid w:val="7F031DFF"/>
    <w:rsid w:val="7F0F62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qFormat="1" w:unhideWhenUsed="0" w:uiPriority="99" w:name="List 2"/>
    <w:lsdException w:uiPriority="99" w:name="List 3"/>
    <w:lsdException w:uiPriority="99" w:name="List 4"/>
    <w:lsdException w:qFormat="1"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5"/>
    <w:semiHidden/>
    <w:qFormat/>
    <w:uiPriority w:val="99"/>
    <w:pPr>
      <w:jc w:val="left"/>
    </w:pPr>
  </w:style>
  <w:style w:type="paragraph" w:styleId="3">
    <w:name w:val="Body Text"/>
    <w:basedOn w:val="1"/>
    <w:link w:val="21"/>
    <w:qFormat/>
    <w:uiPriority w:val="99"/>
    <w:pPr>
      <w:spacing w:after="120"/>
    </w:pPr>
  </w:style>
  <w:style w:type="paragraph" w:styleId="4">
    <w:name w:val="Body Text Indent"/>
    <w:basedOn w:val="1"/>
    <w:link w:val="24"/>
    <w:qFormat/>
    <w:uiPriority w:val="99"/>
    <w:pPr>
      <w:spacing w:after="120"/>
      <w:ind w:left="420" w:leftChars="200"/>
    </w:pPr>
  </w:style>
  <w:style w:type="paragraph" w:styleId="5">
    <w:name w:val="List 2"/>
    <w:basedOn w:val="1"/>
    <w:semiHidden/>
    <w:qFormat/>
    <w:uiPriority w:val="99"/>
    <w:pPr>
      <w:ind w:left="100" w:leftChars="200" w:hanging="200" w:hangingChars="200"/>
      <w:contextualSpacing/>
    </w:pPr>
  </w:style>
  <w:style w:type="paragraph" w:styleId="6">
    <w:name w:val="List Continue"/>
    <w:basedOn w:val="1"/>
    <w:qFormat/>
    <w:uiPriority w:val="99"/>
    <w:pPr>
      <w:spacing w:after="120"/>
      <w:ind w:left="420" w:leftChars="200"/>
    </w:pPr>
  </w:style>
  <w:style w:type="paragraph" w:styleId="7">
    <w:name w:val="Plain Text"/>
    <w:basedOn w:val="1"/>
    <w:link w:val="31"/>
    <w:qFormat/>
    <w:uiPriority w:val="99"/>
    <w:rPr>
      <w:rFonts w:ascii="宋体" w:hAnsi="Courier New"/>
      <w:szCs w:val="20"/>
    </w:rPr>
  </w:style>
  <w:style w:type="paragraph" w:styleId="8">
    <w:name w:val="Date"/>
    <w:basedOn w:val="1"/>
    <w:next w:val="1"/>
    <w:link w:val="29"/>
    <w:qFormat/>
    <w:uiPriority w:val="99"/>
    <w:pPr>
      <w:ind w:left="100" w:leftChars="2500"/>
    </w:pPr>
  </w:style>
  <w:style w:type="paragraph" w:styleId="9">
    <w:name w:val="Balloon Text"/>
    <w:basedOn w:val="1"/>
    <w:link w:val="27"/>
    <w:semiHidden/>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sz w:val="18"/>
      <w:szCs w:val="18"/>
    </w:rPr>
  </w:style>
  <w:style w:type="paragraph" w:styleId="11">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2">
    <w:name w:val="List"/>
    <w:basedOn w:val="1"/>
    <w:qFormat/>
    <w:uiPriority w:val="99"/>
    <w:pPr>
      <w:ind w:left="200" w:hanging="200" w:hangingChars="200"/>
    </w:pPr>
  </w:style>
  <w:style w:type="paragraph" w:styleId="13">
    <w:name w:val="List 5"/>
    <w:basedOn w:val="1"/>
    <w:qFormat/>
    <w:uiPriority w:val="99"/>
    <w:pPr>
      <w:ind w:left="100" w:leftChars="800" w:hanging="200" w:hangingChars="200"/>
      <w:contextualSpacing/>
    </w:pPr>
  </w:style>
  <w:style w:type="paragraph" w:styleId="14">
    <w:name w:val="Title"/>
    <w:basedOn w:val="1"/>
    <w:next w:val="1"/>
    <w:qFormat/>
    <w:locked/>
    <w:uiPriority w:val="10"/>
    <w:pPr>
      <w:spacing w:before="240" w:after="60"/>
      <w:jc w:val="center"/>
      <w:outlineLvl w:val="0"/>
    </w:pPr>
    <w:rPr>
      <w:b/>
      <w:bCs/>
      <w:kern w:val="0"/>
      <w:sz w:val="32"/>
      <w:lang w:val="en-GB"/>
    </w:rPr>
  </w:style>
  <w:style w:type="paragraph" w:styleId="15">
    <w:name w:val="annotation subject"/>
    <w:basedOn w:val="2"/>
    <w:next w:val="2"/>
    <w:link w:val="26"/>
    <w:semiHidden/>
    <w:qFormat/>
    <w:uiPriority w:val="99"/>
    <w:rPr>
      <w:b/>
      <w:bCs/>
    </w:rPr>
  </w:style>
  <w:style w:type="table" w:styleId="17">
    <w:name w:val="Table Grid"/>
    <w:basedOn w:val="16"/>
    <w:qFormat/>
    <w:locked/>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99"/>
    <w:rPr>
      <w:rFonts w:cs="Times New Roman"/>
    </w:rPr>
  </w:style>
  <w:style w:type="character" w:styleId="20">
    <w:name w:val="annotation reference"/>
    <w:basedOn w:val="18"/>
    <w:semiHidden/>
    <w:qFormat/>
    <w:uiPriority w:val="99"/>
    <w:rPr>
      <w:rFonts w:cs="Times New Roman"/>
      <w:sz w:val="21"/>
      <w:szCs w:val="21"/>
    </w:rPr>
  </w:style>
  <w:style w:type="character" w:customStyle="1" w:styleId="21">
    <w:name w:val="正文文本 字符"/>
    <w:basedOn w:val="18"/>
    <w:link w:val="3"/>
    <w:qFormat/>
    <w:locked/>
    <w:uiPriority w:val="99"/>
    <w:rPr>
      <w:rFonts w:ascii="Times New Roman" w:hAnsi="Times New Roman" w:eastAsia="宋体" w:cs="Times New Roman"/>
      <w:sz w:val="24"/>
      <w:szCs w:val="24"/>
    </w:rPr>
  </w:style>
  <w:style w:type="character" w:customStyle="1" w:styleId="22">
    <w:name w:val="页眉 字符"/>
    <w:basedOn w:val="18"/>
    <w:link w:val="11"/>
    <w:qFormat/>
    <w:locked/>
    <w:uiPriority w:val="99"/>
    <w:rPr>
      <w:rFonts w:ascii="Times New Roman" w:hAnsi="Times New Roman" w:eastAsia="宋体" w:cs="Times New Roman"/>
      <w:sz w:val="18"/>
      <w:szCs w:val="18"/>
    </w:rPr>
  </w:style>
  <w:style w:type="character" w:customStyle="1" w:styleId="23">
    <w:name w:val="页脚 字符"/>
    <w:basedOn w:val="18"/>
    <w:link w:val="10"/>
    <w:qFormat/>
    <w:locked/>
    <w:uiPriority w:val="99"/>
    <w:rPr>
      <w:rFonts w:ascii="Times New Roman" w:hAnsi="Times New Roman" w:eastAsia="宋体" w:cs="Times New Roman"/>
      <w:sz w:val="18"/>
      <w:szCs w:val="18"/>
    </w:rPr>
  </w:style>
  <w:style w:type="character" w:customStyle="1" w:styleId="24">
    <w:name w:val="正文文本缩进 字符"/>
    <w:basedOn w:val="18"/>
    <w:link w:val="4"/>
    <w:qFormat/>
    <w:locked/>
    <w:uiPriority w:val="99"/>
    <w:rPr>
      <w:rFonts w:ascii="Times New Roman" w:hAnsi="Times New Roman" w:eastAsia="宋体" w:cs="Times New Roman"/>
      <w:sz w:val="24"/>
      <w:szCs w:val="24"/>
    </w:rPr>
  </w:style>
  <w:style w:type="character" w:customStyle="1" w:styleId="25">
    <w:name w:val="批注文字 字符"/>
    <w:basedOn w:val="18"/>
    <w:link w:val="2"/>
    <w:semiHidden/>
    <w:qFormat/>
    <w:locked/>
    <w:uiPriority w:val="99"/>
    <w:rPr>
      <w:rFonts w:ascii="Times New Roman" w:hAnsi="Times New Roman" w:eastAsia="宋体" w:cs="Times New Roman"/>
      <w:sz w:val="24"/>
      <w:szCs w:val="24"/>
    </w:rPr>
  </w:style>
  <w:style w:type="character" w:customStyle="1" w:styleId="26">
    <w:name w:val="批注主题 字符"/>
    <w:basedOn w:val="25"/>
    <w:link w:val="15"/>
    <w:semiHidden/>
    <w:qFormat/>
    <w:locked/>
    <w:uiPriority w:val="99"/>
    <w:rPr>
      <w:rFonts w:ascii="Times New Roman" w:hAnsi="Times New Roman" w:eastAsia="宋体" w:cs="Times New Roman"/>
      <w:b/>
      <w:bCs/>
      <w:sz w:val="24"/>
      <w:szCs w:val="24"/>
    </w:rPr>
  </w:style>
  <w:style w:type="character" w:customStyle="1" w:styleId="27">
    <w:name w:val="批注框文本 字符"/>
    <w:basedOn w:val="18"/>
    <w:link w:val="9"/>
    <w:semiHidden/>
    <w:qFormat/>
    <w:locked/>
    <w:uiPriority w:val="99"/>
    <w:rPr>
      <w:rFonts w:ascii="Times New Roman" w:hAnsi="Times New Roman" w:eastAsia="宋体" w:cs="Times New Roman"/>
      <w:sz w:val="18"/>
      <w:szCs w:val="18"/>
    </w:rPr>
  </w:style>
  <w:style w:type="paragraph" w:styleId="28">
    <w:name w:val="List Paragraph"/>
    <w:basedOn w:val="1"/>
    <w:qFormat/>
    <w:uiPriority w:val="99"/>
    <w:pPr>
      <w:ind w:firstLine="420" w:firstLineChars="200"/>
    </w:pPr>
  </w:style>
  <w:style w:type="character" w:customStyle="1" w:styleId="29">
    <w:name w:val="日期 字符"/>
    <w:basedOn w:val="18"/>
    <w:link w:val="8"/>
    <w:semiHidden/>
    <w:qFormat/>
    <w:locked/>
    <w:uiPriority w:val="99"/>
    <w:rPr>
      <w:rFonts w:ascii="Times New Roman" w:hAnsi="Times New Roman" w:cs="Times New Roman"/>
      <w:sz w:val="24"/>
      <w:szCs w:val="24"/>
    </w:rPr>
  </w:style>
  <w:style w:type="character" w:customStyle="1" w:styleId="30">
    <w:name w:val="Plain Text Char"/>
    <w:basedOn w:val="18"/>
    <w:semiHidden/>
    <w:qFormat/>
    <w:locked/>
    <w:uiPriority w:val="99"/>
    <w:rPr>
      <w:rFonts w:ascii="宋体" w:hAnsi="Courier New" w:cs="Courier New"/>
      <w:sz w:val="21"/>
      <w:szCs w:val="21"/>
    </w:rPr>
  </w:style>
  <w:style w:type="character" w:customStyle="1" w:styleId="31">
    <w:name w:val="纯文本 字符"/>
    <w:link w:val="7"/>
    <w:qFormat/>
    <w:locked/>
    <w:uiPriority w:val="99"/>
    <w:rPr>
      <w:rFonts w:ascii="宋体" w:hAnsi="Courier New" w:eastAsia="宋体"/>
      <w:kern w:val="2"/>
      <w:sz w:val="21"/>
      <w:lang w:val="en-US" w:eastAsia="zh-CN"/>
    </w:rPr>
  </w:style>
  <w:style w:type="paragraph" w:customStyle="1" w:styleId="32">
    <w:name w:val="Body"/>
    <w:basedOn w:val="1"/>
    <w:qFormat/>
    <w:uiPriority w:val="0"/>
    <w:pPr>
      <w:widowControl/>
      <w:spacing w:before="120" w:after="60"/>
      <w:jc w:val="left"/>
    </w:pPr>
    <w:rPr>
      <w:rFonts w:ascii="ITCCentury BookCond" w:hAnsi="ITCCentury BookCond"/>
      <w:kern w:val="0"/>
      <w:sz w:val="22"/>
      <w:szCs w:val="20"/>
      <w:lang w:val="en-AU" w:eastAsia="en-US"/>
    </w:rPr>
  </w:style>
  <w:style w:type="table" w:customStyle="1" w:styleId="33">
    <w:name w:val="网格型1"/>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A6496369093A3446977FA6EB258508D5" ma:contentTypeVersion="1" ma:contentTypeDescription="新建文档。" ma:contentTypeScope="" ma:versionID="fcef3086925641658d92b101e3eabadd">
  <xsd:schema xmlns:xsd="http://www.w3.org/2001/XMLSchema" xmlns:xs="http://www.w3.org/2001/XMLSchema" xmlns:p="http://schemas.microsoft.com/office/2006/metadata/properties" xmlns:ns1="http://schemas.microsoft.com/sharepoint/v3" targetNamespace="http://schemas.microsoft.com/office/2006/metadata/properties" ma:root="true" ma:fieldsID="3efbd2fb3e958be18b4f326bd6345f6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internalName="PublishingStartDate">
      <xsd:simpleType>
        <xsd:restriction base="dms:Unknown"/>
      </xsd:simpleType>
    </xsd:element>
    <xsd:element name="PublishingExpirationDate" ma:index="9" nillable="true" ma:displayName="计划结束日期"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4C73DB-0B92-4895-BAFA-2A2EA5257DDB}">
  <ds:schemaRefs/>
</ds:datastoreItem>
</file>

<file path=customXml/itemProps2.xml><?xml version="1.0" encoding="utf-8"?>
<ds:datastoreItem xmlns:ds="http://schemas.openxmlformats.org/officeDocument/2006/customXml" ds:itemID="{B64F35E5-F633-445C-8EDF-BE87EA391448}">
  <ds:schemaRefs/>
</ds:datastoreItem>
</file>

<file path=customXml/itemProps3.xml><?xml version="1.0" encoding="utf-8"?>
<ds:datastoreItem xmlns:ds="http://schemas.openxmlformats.org/officeDocument/2006/customXml" ds:itemID="{316BF2BE-A15C-4FCF-967A-179440E3EE2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7032</Words>
  <Characters>7209</Characters>
  <Lines>56</Lines>
  <Paragraphs>15</Paragraphs>
  <TotalTime>1</TotalTime>
  <ScaleCrop>false</ScaleCrop>
  <LinksUpToDate>false</LinksUpToDate>
  <CharactersWithSpaces>7594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2022-06-28T07:05:00Z</dcterms:created>
  <dc:creator>ouhanying</dc:creator>
  <cp:lastModifiedBy>王者归来</cp:lastModifiedBy>
  <dcterms:modified xsi:type="dcterms:W3CDTF">2022-06-29T02:06:11Z</dcterms:modified>
  <dc:title>使 用 说 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0x010100A6496369093A3446977FA6EB258508D5</vt:lpwstr>
  </property>
  <property fmtid="{D5CDD505-2E9C-101B-9397-08002B2CF9AE}" pid="3" name="KSOProductBuildVer">
    <vt:lpwstr>2052-11.1.0.11744</vt:lpwstr>
  </property>
  <property fmtid="{D5CDD505-2E9C-101B-9397-08002B2CF9AE}" pid="4" name="ICV">
    <vt:lpwstr>4C2ABF7857EA47928FD21B7D6E07F230</vt:lpwstr>
  </property>
</Properties>
</file>