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仿宋" w:hAnsi="仿宋" w:eastAsia="仿宋"/>
          <w:kern w:val="0"/>
          <w:sz w:val="24"/>
          <w:szCs w:val="24"/>
        </w:rPr>
      </w:pPr>
      <w:bookmarkStart w:id="0" w:name="_Toc398592224"/>
      <w:bookmarkStart w:id="1" w:name="_Toc400892869"/>
      <w:bookmarkStart w:id="2" w:name="_Toc383701793"/>
      <w:r>
        <w:rPr>
          <w:rFonts w:hint="eastAsia" w:ascii="仿宋" w:hAnsi="仿宋" w:eastAsia="仿宋"/>
          <w:kern w:val="0"/>
          <w:sz w:val="24"/>
          <w:szCs w:val="24"/>
        </w:rPr>
        <w:t>合同编号：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避雷装置安全检测</w:t>
      </w:r>
    </w:p>
    <w:p>
      <w:pPr>
        <w:jc w:val="center"/>
        <w:rPr>
          <w:sz w:val="84"/>
          <w:szCs w:val="84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合</w:t>
      </w:r>
    </w:p>
    <w:p>
      <w:pPr>
        <w:jc w:val="center"/>
        <w:rPr>
          <w:sz w:val="84"/>
          <w:szCs w:val="84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同</w:t>
      </w:r>
      <w:bookmarkStart w:id="32" w:name="_GoBack"/>
      <w:bookmarkEnd w:id="32"/>
    </w:p>
    <w:p>
      <w:pPr>
        <w:jc w:val="center"/>
        <w:rPr>
          <w:sz w:val="84"/>
          <w:szCs w:val="84"/>
        </w:rPr>
      </w:pPr>
    </w:p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书</w:t>
      </w:r>
    </w:p>
    <w:p>
      <w:pPr>
        <w:jc w:val="center"/>
        <w:rPr>
          <w:sz w:val="84"/>
          <w:szCs w:val="84"/>
        </w:rPr>
      </w:pPr>
    </w:p>
    <w:p>
      <w:pPr>
        <w:rPr>
          <w:sz w:val="84"/>
          <w:szCs w:val="84"/>
        </w:rPr>
      </w:pPr>
    </w:p>
    <w:p>
      <w:pPr>
        <w:jc w:val="center"/>
        <w:rPr>
          <w:sz w:val="40"/>
          <w:szCs w:val="84"/>
        </w:rPr>
      </w:pPr>
      <w:r>
        <w:rPr>
          <w:rFonts w:hint="eastAsia"/>
          <w:sz w:val="40"/>
          <w:szCs w:val="84"/>
        </w:rPr>
        <w:t>北京科安信防雷检测技术服务有限公司</w:t>
      </w:r>
    </w:p>
    <w:p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kern w:val="0"/>
          <w:sz w:val="36"/>
          <w:szCs w:val="36"/>
        </w:rPr>
      </w:pPr>
      <w:r>
        <w:rPr>
          <w:rFonts w:hint="eastAsia" w:ascii="Cambria" w:hAnsi="Cambria"/>
          <w:b/>
          <w:bCs/>
          <w:kern w:val="0"/>
          <w:sz w:val="36"/>
          <w:szCs w:val="36"/>
        </w:rPr>
        <w:t>避雷装置安全检测合同书</w:t>
      </w:r>
      <w:bookmarkEnd w:id="0"/>
      <w:bookmarkEnd w:id="1"/>
      <w:bookmarkEnd w:id="2"/>
    </w:p>
    <w:p>
      <w:pPr>
        <w:wordWrap w:val="0"/>
        <w:jc w:val="right"/>
        <w:rPr>
          <w:rFonts w:ascii="Times New Roman" w:hAnsi="Times New Roman"/>
          <w:i/>
          <w:kern w:val="0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甲方：北京三汇能环科技发展有限公司                 (以下称“甲方”)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联系地址：北京市丰台区南木樨园18号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乙方：北京科安信防雷检测技术服务有限公司            (以下称“乙方”)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联系地址：北京市海淀区北洼路26号431室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甲方委托乙方对项目进行避雷装置安全检测，现为维护甲乙双方的合法权益，根据现行的法律、法规和规章，并结合具体情况，特签订如下合同，以资共同遵守。</w:t>
      </w:r>
      <w:bookmarkStart w:id="3" w:name="_Toc398592225"/>
      <w:bookmarkStart w:id="4" w:name="_Toc383701794"/>
      <w:bookmarkStart w:id="5" w:name="_Toc400738871"/>
      <w:bookmarkStart w:id="6" w:name="_Toc400892870"/>
    </w:p>
    <w:p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一、</w:t>
      </w:r>
      <w:bookmarkEnd w:id="3"/>
      <w:bookmarkEnd w:id="4"/>
      <w:bookmarkEnd w:id="5"/>
      <w:bookmarkEnd w:id="6"/>
      <w:r>
        <w:rPr>
          <w:rFonts w:hint="eastAsia" w:ascii="仿宋" w:hAnsi="仿宋" w:eastAsia="仿宋"/>
          <w:b/>
          <w:kern w:val="0"/>
          <w:sz w:val="24"/>
          <w:szCs w:val="24"/>
        </w:rPr>
        <w:t>乙方对甲方委托的以下项目进行检测</w:t>
      </w:r>
    </w:p>
    <w:p>
      <w:pPr>
        <w:spacing w:line="360" w:lineRule="auto"/>
        <w:ind w:firstLine="360" w:firstLineChars="15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1、项目名称：B座楼顶冷却机房及晒水塔</w:t>
      </w:r>
    </w:p>
    <w:p>
      <w:pPr>
        <w:tabs>
          <w:tab w:val="left" w:pos="6723"/>
        </w:tabs>
        <w:spacing w:line="360" w:lineRule="auto"/>
        <w:ind w:firstLine="360" w:firstLineChars="15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2、项目地址：北京市朝阳区光华路4号</w:t>
      </w:r>
      <w:r>
        <w:rPr>
          <w:rFonts w:hint="eastAsia" w:ascii="仿宋" w:hAnsi="仿宋" w:eastAsia="仿宋"/>
          <w:kern w:val="0"/>
          <w:sz w:val="24"/>
          <w:szCs w:val="24"/>
        </w:rPr>
        <w:tab/>
      </w:r>
    </w:p>
    <w:p>
      <w:pPr>
        <w:tabs>
          <w:tab w:val="left" w:pos="6723"/>
        </w:tabs>
        <w:spacing w:line="360" w:lineRule="auto"/>
        <w:ind w:firstLine="360" w:firstLineChars="15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二、检测类型</w:t>
      </w:r>
    </w:p>
    <w:p>
      <w:pPr>
        <w:tabs>
          <w:tab w:val="left" w:pos="6723"/>
        </w:tabs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   1、定期检测 </w:t>
      </w:r>
      <w:r>
        <w:rPr>
          <w:rFonts w:hint="eastAsia" w:ascii="仿宋" w:hAnsi="仿宋" w:eastAsia="仿宋"/>
          <w:kern w:val="0"/>
          <w:sz w:val="24"/>
          <w:szCs w:val="24"/>
        </w:rPr>
        <w:sym w:font="Wingdings" w:char="F0FE"/>
      </w:r>
    </w:p>
    <w:p>
      <w:pPr>
        <w:tabs>
          <w:tab w:val="left" w:pos="6723"/>
        </w:tabs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   2、竣工检测 □</w:t>
      </w:r>
    </w:p>
    <w:p>
      <w:pPr>
        <w:tabs>
          <w:tab w:val="left" w:pos="6723"/>
        </w:tabs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   3、首次检测 □</w:t>
      </w:r>
    </w:p>
    <w:p>
      <w:pPr>
        <w:tabs>
          <w:tab w:val="left" w:pos="6723"/>
        </w:tabs>
        <w:spacing w:line="360" w:lineRule="auto"/>
        <w:ind w:firstLine="360" w:firstLineChars="15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4、专项检测 □</w:t>
      </w:r>
    </w:p>
    <w:p>
      <w:pPr>
        <w:tabs>
          <w:tab w:val="left" w:pos="6723"/>
        </w:tabs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p>
      <w:pPr>
        <w:tabs>
          <w:tab w:val="left" w:pos="6723"/>
        </w:tabs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p>
      <w:pPr>
        <w:tabs>
          <w:tab w:val="left" w:pos="6723"/>
        </w:tabs>
        <w:spacing w:line="360" w:lineRule="auto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三、检测内容</w:t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接闪器 □</w:t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引下线 □</w:t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接地装置 □</w:t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等电位连接 </w:t>
      </w:r>
      <w:r>
        <w:rPr>
          <w:rFonts w:hint="eastAsia" w:ascii="仿宋" w:hAnsi="仿宋" w:eastAsia="仿宋"/>
          <w:kern w:val="0"/>
          <w:sz w:val="24"/>
          <w:szCs w:val="24"/>
        </w:rPr>
        <w:sym w:font="Wingdings" w:char="F0FE"/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电涌保护器（SPD） </w:t>
      </w:r>
      <w:r>
        <w:rPr>
          <w:rFonts w:hint="eastAsia" w:ascii="仿宋" w:hAnsi="仿宋" w:eastAsia="仿宋"/>
          <w:kern w:val="0"/>
          <w:sz w:val="24"/>
          <w:szCs w:val="24"/>
        </w:rPr>
        <w:sym w:font="Wingdings" w:char="F0FE"/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土壤电阻率 □</w:t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电磁屏蔽 </w:t>
      </w:r>
      <w:r>
        <w:rPr>
          <w:rFonts w:hint="eastAsia" w:ascii="仿宋" w:hAnsi="仿宋" w:eastAsia="仿宋"/>
          <w:kern w:val="0"/>
          <w:sz w:val="24"/>
          <w:szCs w:val="24"/>
        </w:rPr>
        <w:sym w:font="Wingdings" w:char="F0FE"/>
      </w:r>
    </w:p>
    <w:p>
      <w:pPr>
        <w:pStyle w:val="8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电气绝缘 □</w:t>
      </w:r>
    </w:p>
    <w:p>
      <w:pPr>
        <w:pStyle w:val="8"/>
        <w:tabs>
          <w:tab w:val="left" w:pos="6723"/>
        </w:tabs>
        <w:spacing w:line="360" w:lineRule="auto"/>
        <w:ind w:firstLineChars="0"/>
        <w:rPr>
          <w:rFonts w:ascii="仿宋" w:hAnsi="仿宋" w:eastAsia="仿宋"/>
          <w:kern w:val="0"/>
          <w:sz w:val="24"/>
          <w:szCs w:val="24"/>
        </w:rPr>
      </w:pPr>
    </w:p>
    <w:p>
      <w:pPr>
        <w:tabs>
          <w:tab w:val="left" w:pos="6723"/>
        </w:tabs>
        <w:spacing w:line="360" w:lineRule="auto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四、检测依据</w:t>
      </w:r>
    </w:p>
    <w:p>
      <w:pPr>
        <w:tabs>
          <w:tab w:val="left" w:pos="6723"/>
        </w:tabs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建筑物防雷装置检测技术规范  GB/T21431-2015</w:t>
      </w:r>
    </w:p>
    <w:p>
      <w:pPr>
        <w:tabs>
          <w:tab w:val="left" w:pos="6723"/>
        </w:tabs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7" w:name="_Toc398592226"/>
      <w:bookmarkStart w:id="8" w:name="_Toc400738872"/>
      <w:bookmarkStart w:id="9" w:name="_Toc383701795"/>
      <w:bookmarkStart w:id="10" w:name="_Toc400892871"/>
      <w:r>
        <w:rPr>
          <w:rFonts w:hint="eastAsia" w:ascii="仿宋" w:hAnsi="仿宋" w:eastAsia="仿宋"/>
          <w:b/>
          <w:kern w:val="0"/>
          <w:sz w:val="24"/>
          <w:szCs w:val="24"/>
        </w:rPr>
        <w:t>五、工作内容及要求</w:t>
      </w:r>
      <w:bookmarkEnd w:id="7"/>
      <w:bookmarkEnd w:id="8"/>
      <w:bookmarkEnd w:id="9"/>
      <w:bookmarkEnd w:id="10"/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    1、乙方对甲方所委托的项目进行避雷装置安全检测，并出具检测报告。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2、乙方以国家现行的法律法规、技术标准及规范为依据进行检测。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3、针对检测中发现不符合相关规范要求的项目，在甲方整改结束后，乙方进行复检，并提供检测报告。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11" w:name="_Toc400738873"/>
      <w:bookmarkStart w:id="12" w:name="_Toc400892872"/>
      <w:bookmarkStart w:id="13" w:name="_Toc383701796"/>
      <w:r>
        <w:rPr>
          <w:rFonts w:hint="eastAsia" w:ascii="仿宋" w:hAnsi="仿宋" w:eastAsia="仿宋"/>
          <w:b/>
          <w:kern w:val="0"/>
          <w:sz w:val="24"/>
          <w:szCs w:val="24"/>
        </w:rPr>
        <w:t>六、甲方的权利与责任</w:t>
      </w:r>
      <w:bookmarkEnd w:id="11"/>
      <w:bookmarkEnd w:id="12"/>
      <w:bookmarkEnd w:id="13"/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 xml:space="preserve">    1、检测期间，甲方有权派专人进行现场监管、查看、了解、检查作业情况；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2、检测完成后，要求乙方出具公正、有效的检测报告；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3、须指派熟悉相关业务的人员配合乙方检测人员工作，并为乙方提供相关的检测条件。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>4、甲方应向乙方提供检测必需的技术资料、数据等，并进行说明；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>5、甲方应按约定向乙方支付报酬并接收检测报告。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highlight w:val="none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  <w:highlight w:val="none"/>
        </w:rPr>
      </w:pPr>
      <w:bookmarkStart w:id="14" w:name="_Toc383701797"/>
      <w:bookmarkStart w:id="15" w:name="_Toc400738874"/>
      <w:bookmarkStart w:id="16" w:name="_Toc400892873"/>
      <w:r>
        <w:rPr>
          <w:rFonts w:hint="eastAsia" w:ascii="仿宋" w:hAnsi="仿宋" w:eastAsia="仿宋"/>
          <w:b/>
          <w:kern w:val="0"/>
          <w:sz w:val="24"/>
          <w:szCs w:val="24"/>
          <w:highlight w:val="none"/>
        </w:rPr>
        <w:t>七、乙方权利与责任</w:t>
      </w:r>
      <w:bookmarkEnd w:id="14"/>
      <w:bookmarkEnd w:id="15"/>
      <w:bookmarkEnd w:id="16"/>
    </w:p>
    <w:p>
      <w:pPr>
        <w:spacing w:line="360" w:lineRule="auto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 xml:space="preserve">    1、应当遵守安全操作规程，对现场检测人员进行安全教育；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 xml:space="preserve">    2、应安排专业检测人员进行检测；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>3、应严格按照相关技术标准及规范进行检测；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>4、检测完成并提供检测报告后，要求甲方支付费用；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0"/>
          <w:sz w:val="24"/>
          <w:szCs w:val="24"/>
          <w:highlight w:val="none"/>
        </w:rPr>
        <w:t>5、乙方发现甲方提供的技术资料，数据等资料或工作条件不符合合同约定，或无法完成检测的，乙方有权在接到上述资料或开始工作的2天内，通知甲方改进或更换，甲方应该积极配合乙方。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17" w:name="_Toc400738875"/>
      <w:bookmarkStart w:id="18" w:name="_Toc383701798"/>
      <w:bookmarkStart w:id="19" w:name="_Toc400892874"/>
      <w:r>
        <w:rPr>
          <w:rFonts w:hint="eastAsia" w:ascii="仿宋" w:hAnsi="仿宋" w:eastAsia="仿宋"/>
          <w:b/>
          <w:kern w:val="0"/>
          <w:sz w:val="24"/>
          <w:szCs w:val="24"/>
        </w:rPr>
        <w:t>八、协议金额</w:t>
      </w:r>
      <w:bookmarkEnd w:id="17"/>
      <w:bookmarkEnd w:id="18"/>
      <w:bookmarkEnd w:id="19"/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检测费用为人民币：大写：</w:t>
      </w:r>
      <w:r>
        <w:rPr>
          <w:rFonts w:hint="eastAsia" w:ascii="仿宋" w:hAnsi="仿宋" w:eastAsia="仿宋"/>
          <w:kern w:val="0"/>
          <w:sz w:val="24"/>
          <w:szCs w:val="24"/>
          <w:u w:val="single"/>
        </w:rPr>
        <w:t>叁仟肆佰元（小写：￥3400元）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； 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  <w:u w:val="single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20" w:name="_Toc400892875"/>
      <w:bookmarkStart w:id="21" w:name="_Toc400738876"/>
      <w:bookmarkStart w:id="22" w:name="_Toc383701799"/>
      <w:r>
        <w:rPr>
          <w:rFonts w:hint="eastAsia" w:ascii="仿宋" w:hAnsi="仿宋" w:eastAsia="仿宋"/>
          <w:b/>
          <w:kern w:val="0"/>
          <w:sz w:val="24"/>
          <w:szCs w:val="24"/>
        </w:rPr>
        <w:t>九、检测工期</w:t>
      </w:r>
      <w:bookmarkEnd w:id="20"/>
      <w:bookmarkEnd w:id="21"/>
      <w:bookmarkEnd w:id="22"/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乙方于双方约定的时间（2022年   月  日开始）进场进行检测至工作结束。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23" w:name="_Toc400738877"/>
      <w:bookmarkStart w:id="24" w:name="_Toc400892876"/>
      <w:bookmarkStart w:id="25" w:name="_Toc383701800"/>
      <w:r>
        <w:rPr>
          <w:rFonts w:hint="eastAsia" w:ascii="仿宋" w:hAnsi="仿宋" w:eastAsia="仿宋"/>
          <w:b/>
          <w:kern w:val="0"/>
          <w:sz w:val="24"/>
          <w:szCs w:val="24"/>
        </w:rPr>
        <w:t>十、付款方式</w:t>
      </w:r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乙方完成现场检测工作并出具检测报告，甲方收到乙方提供的检测报告和增值税6%专用发票后三个工作日内，甲方向乙方支付检测报酬即人民币：大写：大写：</w:t>
      </w:r>
      <w:r>
        <w:rPr>
          <w:rFonts w:hint="eastAsia" w:ascii="仿宋" w:hAnsi="仿宋" w:eastAsia="仿宋"/>
          <w:kern w:val="0"/>
          <w:sz w:val="24"/>
          <w:szCs w:val="24"/>
          <w:u w:val="single"/>
        </w:rPr>
        <w:t>叁仟肆佰元（小写：￥3400元）</w:t>
      </w:r>
      <w:r>
        <w:rPr>
          <w:rFonts w:hint="eastAsia" w:ascii="仿宋" w:hAnsi="仿宋" w:eastAsia="仿宋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附：甲方付款信息                    乙方收款信息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ind w:left="1200" w:hanging="1200" w:hangingChars="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单位名称：北京三汇能环科技发展有限公司</w:t>
            </w:r>
          </w:p>
        </w:tc>
        <w:tc>
          <w:tcPr>
            <w:tcW w:w="4261" w:type="dxa"/>
          </w:tcPr>
          <w:p>
            <w:pPr>
              <w:spacing w:line="360" w:lineRule="auto"/>
              <w:ind w:left="1200" w:hanging="1200" w:hangingChars="5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单位名称：北京科安信防雷检测技术服务有限公司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单位税号：91110106666295220C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单位税号：91110108102032302U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ind w:left="720" w:hanging="720" w:hangingChars="3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北京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丰台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区配套商业太平桥路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15、17、17-1号内17号B1层B1010号房间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地址：北京市海淀区北洼路26 号431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电话：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val="en-US" w:eastAsia="zh-CN"/>
              </w:rPr>
              <w:t>18001317825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电话：010-88580892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开户行：北京农村商业银行丰台支行营业部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开户行：北京银行北洼路支行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账号：0201000 103 0000 23429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账号：20000032332500011734142</w:t>
            </w:r>
          </w:p>
        </w:tc>
      </w:tr>
    </w:tbl>
    <w:p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kern w:val="0"/>
          <w:sz w:val="24"/>
          <w:szCs w:val="24"/>
          <w:u w:val="single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26" w:name="_Toc383701801"/>
      <w:bookmarkStart w:id="27" w:name="_Toc400738878"/>
      <w:bookmarkStart w:id="28" w:name="_Toc400892877"/>
      <w:r>
        <w:rPr>
          <w:rFonts w:hint="eastAsia" w:ascii="仿宋" w:hAnsi="仿宋" w:eastAsia="仿宋"/>
          <w:b/>
          <w:kern w:val="0"/>
          <w:sz w:val="24"/>
          <w:szCs w:val="24"/>
        </w:rPr>
        <w:t>十一、违约责任</w:t>
      </w:r>
      <w:bookmarkEnd w:id="26"/>
      <w:bookmarkEnd w:id="27"/>
      <w:bookmarkEnd w:id="28"/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合同期内双方中如任何一方违约，则违约方必须承担一切法律责任，并向守约方支付合同总价款的5％作为违约金，若违约金不足以弥补守约方为此遭受的损失，则违约方应就违约金与守约方遭受损失之间的差额承担赔偿责任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outlineLvl w:val="0"/>
        <w:rPr>
          <w:rFonts w:ascii="仿宋" w:hAnsi="仿宋" w:eastAsia="仿宋"/>
          <w:b/>
          <w:kern w:val="0"/>
          <w:sz w:val="24"/>
          <w:szCs w:val="24"/>
        </w:rPr>
      </w:pPr>
      <w:bookmarkStart w:id="29" w:name="_Toc400892878"/>
      <w:bookmarkStart w:id="30" w:name="_Toc400738879"/>
      <w:bookmarkStart w:id="31" w:name="_Toc383701802"/>
      <w:r>
        <w:rPr>
          <w:rFonts w:hint="eastAsia" w:ascii="仿宋" w:hAnsi="仿宋" w:eastAsia="仿宋"/>
          <w:b/>
          <w:kern w:val="0"/>
          <w:sz w:val="24"/>
          <w:szCs w:val="24"/>
        </w:rPr>
        <w:t>十二、其它</w:t>
      </w:r>
      <w:bookmarkEnd w:id="29"/>
      <w:bookmarkEnd w:id="30"/>
      <w:bookmarkEnd w:id="31"/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1、本合同的订立、效力、解释、履行和争议的解决应受中华人民共和国法律、法规的管辖。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2、本合同及所有附件的修改，必须经甲乙双方签署书面协议方能生效。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3、本合同涉及的各具体事项及其未尽事宜，可由双方经协商一致后订立补充合同、补充协议或补充方案，该等文件与本合同具有同等的法律效力。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4、除非特别说明，本合同中所指“本合同”应包括本合同的附件及补充合同、补充协议或补充方案；本合同中所指“书面形式”应包括有效邮寄、电子邮件等形式。</w:t>
      </w:r>
    </w:p>
    <w:p>
      <w:pPr>
        <w:spacing w:line="360" w:lineRule="auto"/>
        <w:ind w:firstLine="480" w:firstLineChars="200"/>
        <w:outlineLvl w:val="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5、由本合同引起的或与解释、执行本合同有关的任何争议，双方应首先通过友好协商解决。协商不能解决，任一方均有权将该等争议提交北京仲裁委员会申请仲裁，仲裁应依据该仲裁委员会当时的仲裁规则进行；仲裁裁决是终局的，对双方都有约束力；仲裁费用应由败诉方承担，除非仲裁</w:t>
      </w:r>
      <w:r>
        <w:rPr>
          <w:rFonts w:ascii="仿宋" w:hAnsi="仿宋" w:eastAsia="仿宋"/>
          <w:kern w:val="0"/>
          <w:sz w:val="24"/>
          <w:szCs w:val="24"/>
        </w:rPr>
        <w:t>裁决</w:t>
      </w:r>
      <w:r>
        <w:rPr>
          <w:rFonts w:hint="eastAsia" w:ascii="仿宋" w:hAnsi="仿宋" w:eastAsia="仿宋"/>
          <w:kern w:val="0"/>
          <w:sz w:val="24"/>
          <w:szCs w:val="24"/>
        </w:rPr>
        <w:t>另</w:t>
      </w:r>
      <w:r>
        <w:rPr>
          <w:rFonts w:ascii="仿宋" w:hAnsi="仿宋" w:eastAsia="仿宋"/>
          <w:kern w:val="0"/>
          <w:sz w:val="24"/>
          <w:szCs w:val="24"/>
        </w:rPr>
        <w:t>有裁定</w:t>
      </w:r>
      <w:r>
        <w:rPr>
          <w:rFonts w:hint="eastAsia" w:ascii="仿宋" w:hAnsi="仿宋" w:eastAsia="仿宋"/>
          <w:kern w:val="0"/>
          <w:sz w:val="24"/>
          <w:szCs w:val="24"/>
        </w:rPr>
        <w:t>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6、 本合同一式</w:t>
      </w:r>
      <w:r>
        <w:rPr>
          <w:rFonts w:hint="eastAsia" w:ascii="仿宋" w:hAnsi="仿宋" w:eastAsia="仿宋"/>
          <w:kern w:val="0"/>
          <w:sz w:val="24"/>
          <w:szCs w:val="24"/>
          <w:u w:val="single"/>
        </w:rPr>
        <w:t xml:space="preserve"> 肆 </w:t>
      </w:r>
      <w:r>
        <w:rPr>
          <w:rFonts w:hint="eastAsia" w:ascii="仿宋" w:hAnsi="仿宋" w:eastAsia="仿宋"/>
          <w:kern w:val="0"/>
          <w:sz w:val="24"/>
          <w:szCs w:val="24"/>
        </w:rPr>
        <w:t>份，具有同等的法律效力，甲方执</w:t>
      </w:r>
      <w:r>
        <w:rPr>
          <w:rFonts w:hint="eastAsia" w:ascii="仿宋" w:hAnsi="仿宋" w:eastAsia="仿宋"/>
          <w:kern w:val="0"/>
          <w:sz w:val="24"/>
          <w:szCs w:val="24"/>
          <w:u w:val="single"/>
        </w:rPr>
        <w:t xml:space="preserve"> 贰 </w:t>
      </w:r>
      <w:r>
        <w:rPr>
          <w:rFonts w:hint="eastAsia" w:ascii="仿宋" w:hAnsi="仿宋" w:eastAsia="仿宋"/>
          <w:kern w:val="0"/>
          <w:sz w:val="24"/>
          <w:szCs w:val="24"/>
        </w:rPr>
        <w:t>份，乙方执</w:t>
      </w:r>
      <w:r>
        <w:rPr>
          <w:rFonts w:hint="eastAsia" w:ascii="仿宋" w:hAnsi="仿宋" w:eastAsia="仿宋"/>
          <w:kern w:val="0"/>
          <w:sz w:val="24"/>
          <w:szCs w:val="24"/>
          <w:u w:val="single"/>
        </w:rPr>
        <w:t>贰</w:t>
      </w:r>
      <w:r>
        <w:rPr>
          <w:rFonts w:hint="eastAsia" w:ascii="仿宋" w:hAnsi="仿宋" w:eastAsia="仿宋"/>
          <w:kern w:val="0"/>
          <w:sz w:val="24"/>
          <w:szCs w:val="24"/>
        </w:rPr>
        <w:t>份，本协议自签字盖章之日起生效。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7、甲乙双方均按照本合同列明的通讯方法进行联系并送达文件，若通过本合同列明方式发送的往来的合同、函件等均视为有效书面形式。若联系方式发生变化，则应及时以书面方式通知对方，否则由变更方承担不利后果。</w:t>
      </w: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（以下无正文）</w:t>
      </w:r>
    </w:p>
    <w:p>
      <w:pPr>
        <w:spacing w:line="360" w:lineRule="auto"/>
        <w:ind w:firstLine="480"/>
        <w:rPr>
          <w:rFonts w:hint="eastAsia" w:ascii="仿宋" w:hAnsi="仿宋" w:eastAsia="仿宋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仿宋" w:hAnsi="仿宋" w:eastAsia="仿宋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仿宋" w:hAnsi="仿宋" w:eastAsia="仿宋"/>
          <w:kern w:val="0"/>
          <w:sz w:val="24"/>
          <w:szCs w:val="24"/>
        </w:rPr>
      </w:pPr>
    </w:p>
    <w:p>
      <w:pPr>
        <w:spacing w:line="360" w:lineRule="auto"/>
        <w:ind w:firstLine="480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甲方（ 盖章）：                           乙 方（ 盖章）：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经办人：                                  经办人：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签订日期：年   月   日                    签订日期：年   月   日</w:t>
      </w: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jc w:val="right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jc w:val="right"/>
        <w:rPr>
          <w:rFonts w:ascii="仿宋" w:hAnsi="仿宋" w:eastAsia="仿宋"/>
          <w:kern w:val="0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D2E76"/>
    <w:multiLevelType w:val="multilevel"/>
    <w:tmpl w:val="4DAD2E76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8E5"/>
    <w:rsid w:val="00003470"/>
    <w:rsid w:val="0001386B"/>
    <w:rsid w:val="00015043"/>
    <w:rsid w:val="00067BF9"/>
    <w:rsid w:val="00070CE0"/>
    <w:rsid w:val="00092723"/>
    <w:rsid w:val="000955B4"/>
    <w:rsid w:val="00100317"/>
    <w:rsid w:val="00125EA0"/>
    <w:rsid w:val="00131E4B"/>
    <w:rsid w:val="0016686A"/>
    <w:rsid w:val="00187F45"/>
    <w:rsid w:val="00197647"/>
    <w:rsid w:val="001B4D94"/>
    <w:rsid w:val="001B5BEB"/>
    <w:rsid w:val="001E1DAB"/>
    <w:rsid w:val="001E3F12"/>
    <w:rsid w:val="001F37D2"/>
    <w:rsid w:val="00200176"/>
    <w:rsid w:val="002506B1"/>
    <w:rsid w:val="00256BE8"/>
    <w:rsid w:val="00256E64"/>
    <w:rsid w:val="0026532F"/>
    <w:rsid w:val="002664CA"/>
    <w:rsid w:val="002A0E87"/>
    <w:rsid w:val="002B1B96"/>
    <w:rsid w:val="002C1BEA"/>
    <w:rsid w:val="003258E5"/>
    <w:rsid w:val="00327DA4"/>
    <w:rsid w:val="00332997"/>
    <w:rsid w:val="00347798"/>
    <w:rsid w:val="003762A5"/>
    <w:rsid w:val="00393174"/>
    <w:rsid w:val="00393978"/>
    <w:rsid w:val="003A174A"/>
    <w:rsid w:val="003D483E"/>
    <w:rsid w:val="003E3C02"/>
    <w:rsid w:val="003F04C9"/>
    <w:rsid w:val="003F32B8"/>
    <w:rsid w:val="003F3F8C"/>
    <w:rsid w:val="00454751"/>
    <w:rsid w:val="00461627"/>
    <w:rsid w:val="00462FE0"/>
    <w:rsid w:val="004A4D17"/>
    <w:rsid w:val="004C1B50"/>
    <w:rsid w:val="004C58D7"/>
    <w:rsid w:val="004D77C8"/>
    <w:rsid w:val="00502CDF"/>
    <w:rsid w:val="00520E2D"/>
    <w:rsid w:val="00544064"/>
    <w:rsid w:val="00545FF9"/>
    <w:rsid w:val="00547EA1"/>
    <w:rsid w:val="00553081"/>
    <w:rsid w:val="00554F88"/>
    <w:rsid w:val="00556FF9"/>
    <w:rsid w:val="00574FA6"/>
    <w:rsid w:val="0058476D"/>
    <w:rsid w:val="005A7373"/>
    <w:rsid w:val="00606E05"/>
    <w:rsid w:val="00623CAE"/>
    <w:rsid w:val="00624CF9"/>
    <w:rsid w:val="006332D6"/>
    <w:rsid w:val="00636554"/>
    <w:rsid w:val="00655684"/>
    <w:rsid w:val="006B3C52"/>
    <w:rsid w:val="006C1C15"/>
    <w:rsid w:val="006D04B6"/>
    <w:rsid w:val="006E2364"/>
    <w:rsid w:val="00704F03"/>
    <w:rsid w:val="0072381A"/>
    <w:rsid w:val="00742608"/>
    <w:rsid w:val="00743ACE"/>
    <w:rsid w:val="00754B95"/>
    <w:rsid w:val="00780936"/>
    <w:rsid w:val="00783907"/>
    <w:rsid w:val="0078440C"/>
    <w:rsid w:val="00796990"/>
    <w:rsid w:val="007C1CED"/>
    <w:rsid w:val="007E1484"/>
    <w:rsid w:val="00863E58"/>
    <w:rsid w:val="00885945"/>
    <w:rsid w:val="008F094A"/>
    <w:rsid w:val="008F4895"/>
    <w:rsid w:val="009420E3"/>
    <w:rsid w:val="00944FF7"/>
    <w:rsid w:val="0095508F"/>
    <w:rsid w:val="009E11D1"/>
    <w:rsid w:val="00A15960"/>
    <w:rsid w:val="00A25F5D"/>
    <w:rsid w:val="00A67B64"/>
    <w:rsid w:val="00A72398"/>
    <w:rsid w:val="00A82DD1"/>
    <w:rsid w:val="00A92C36"/>
    <w:rsid w:val="00A93901"/>
    <w:rsid w:val="00AA0641"/>
    <w:rsid w:val="00AD58F1"/>
    <w:rsid w:val="00AE072C"/>
    <w:rsid w:val="00AE60F6"/>
    <w:rsid w:val="00AE7506"/>
    <w:rsid w:val="00B12391"/>
    <w:rsid w:val="00B35537"/>
    <w:rsid w:val="00B52563"/>
    <w:rsid w:val="00BA52F7"/>
    <w:rsid w:val="00BB78C3"/>
    <w:rsid w:val="00BE4DF4"/>
    <w:rsid w:val="00C0722F"/>
    <w:rsid w:val="00C50A6A"/>
    <w:rsid w:val="00CF458A"/>
    <w:rsid w:val="00D07AAA"/>
    <w:rsid w:val="00D321F1"/>
    <w:rsid w:val="00D36DB1"/>
    <w:rsid w:val="00D421CA"/>
    <w:rsid w:val="00D62A22"/>
    <w:rsid w:val="00DB19AF"/>
    <w:rsid w:val="00E00891"/>
    <w:rsid w:val="00E21B1D"/>
    <w:rsid w:val="00E4203A"/>
    <w:rsid w:val="00E6163F"/>
    <w:rsid w:val="00E62E2D"/>
    <w:rsid w:val="00E65DB4"/>
    <w:rsid w:val="00E877F3"/>
    <w:rsid w:val="00EB7C15"/>
    <w:rsid w:val="00EE614F"/>
    <w:rsid w:val="00F279FF"/>
    <w:rsid w:val="00F3697E"/>
    <w:rsid w:val="00F377EA"/>
    <w:rsid w:val="00F61ABB"/>
    <w:rsid w:val="00F7020C"/>
    <w:rsid w:val="00F8392A"/>
    <w:rsid w:val="00F9416E"/>
    <w:rsid w:val="00F94D6C"/>
    <w:rsid w:val="00FF0F42"/>
    <w:rsid w:val="00FF26E8"/>
    <w:rsid w:val="00FF5C06"/>
    <w:rsid w:val="01E8202D"/>
    <w:rsid w:val="098076C6"/>
    <w:rsid w:val="12183790"/>
    <w:rsid w:val="133A2D47"/>
    <w:rsid w:val="22BA6D1A"/>
    <w:rsid w:val="32E07EB7"/>
    <w:rsid w:val="34DA6425"/>
    <w:rsid w:val="381361E1"/>
    <w:rsid w:val="3D4E3BD4"/>
    <w:rsid w:val="407B0078"/>
    <w:rsid w:val="59E75ECD"/>
    <w:rsid w:val="59E91AC3"/>
    <w:rsid w:val="5AF75A4E"/>
    <w:rsid w:val="6B0F76F1"/>
    <w:rsid w:val="7A573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5462-21F0-43CF-A986-1B4B5E534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1794</Words>
  <Characters>1929</Characters>
  <Lines>15</Lines>
  <Paragraphs>4</Paragraphs>
  <TotalTime>51</TotalTime>
  <ScaleCrop>false</ScaleCrop>
  <LinksUpToDate>false</LinksUpToDate>
  <CharactersWithSpaces>2138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2018-08-02T01:26:00Z</dcterms:created>
  <dc:creator>zhanglei</dc:creator>
  <cp:lastModifiedBy>Administrator</cp:lastModifiedBy>
  <cp:lastPrinted>2017-05-08T08:07:00Z</cp:lastPrinted>
  <dcterms:modified xsi:type="dcterms:W3CDTF">2022-03-31T02:17:31Z</dcterms:modified>
  <dc:title>避雷装置安全检测合同书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109A773ADC404C6FB5505CFDCEA0D0F5</vt:lpwstr>
  </property>
</Properties>
</file>