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3373" w:firstLineChars="1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客服专员工作内容及工作标准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075"/>
        <w:gridCol w:w="1484"/>
        <w:gridCol w:w="3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部   门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客服中心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位</w:t>
            </w:r>
          </w:p>
        </w:tc>
        <w:tc>
          <w:tcPr>
            <w:tcW w:w="3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客服专员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考核内容</w:t>
            </w:r>
          </w:p>
        </w:tc>
        <w:tc>
          <w:tcPr>
            <w:tcW w:w="307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工作内容</w:t>
            </w:r>
          </w:p>
        </w:tc>
        <w:tc>
          <w:tcPr>
            <w:tcW w:w="5378" w:type="dxa"/>
            <w:gridSpan w:val="2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工作标准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客户满意度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处理客户投诉需要妥当、及时，要保证良好的服务态度，安抚客户。</w:t>
            </w:r>
          </w:p>
        </w:tc>
        <w:tc>
          <w:tcPr>
            <w:tcW w:w="5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1.及时回复客户的信息、电话，用语礼貌，规范；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2.注意倾听客户的诉说，安抚客户，避免投诉升级；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3.服务质量问题需尽快安排人员排查处理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4.服务态度问题，及时道歉并端正态度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客户服务效率与质量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客户咨询或报修，及时响应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客户回访不得有遗漏，按计划完成客户客情维护任务，不得遗漏。</w:t>
            </w:r>
          </w:p>
        </w:tc>
        <w:tc>
          <w:tcPr>
            <w:tcW w:w="5378" w:type="dxa"/>
            <w:gridSpan w:val="2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客户微信群信息需随时关注，微信消息需在3分钟内响应；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客户来电需及时接起，如未接到需30分钟内回复，不得有遗漏，如出  现无法接听情况，需及时通知部门按排其他人回复客户；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客情维护（节日送礼、微信群节日问候）的任务，需在计划范围内完成，不得拖延及遗漏。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派工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准确性与及时性</w:t>
            </w: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派单信息需及时，准确派工，不得延迟。</w:t>
            </w:r>
          </w:p>
        </w:tc>
        <w:tc>
          <w:tcPr>
            <w:tcW w:w="53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接到立项合同，需及时与区域负责人或技术部核实方案，并准确按合同内容立项，不得有漏项，不得延误。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工作跟进的完整性与及时性</w:t>
            </w:r>
          </w:p>
        </w:tc>
        <w:tc>
          <w:tcPr>
            <w:tcW w:w="30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每天跟进报修项目维修进度，不得遗漏，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每天进行当日施工（维保）汇总，要求准确，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每月统计出现的施工（维保）进度逾期、客户投诉、质量问题、验收问题、质保问题等，为绩效考核进行数据统计。</w:t>
            </w:r>
          </w:p>
        </w:tc>
        <w:tc>
          <w:tcPr>
            <w:tcW w:w="5378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1.对施工人员进行施工（维保）结果微信群汇报提醒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2.进行当日施工（维保）结果及进度汇总，要求施工人下班前反馈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3.对施工（维保）进度逾期、客户投诉、质量问题、验收问题、质保问题等进行绩效考核数据统计，需提供有见证性的资料。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客户档案管理</w:t>
            </w: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单据（巡检单、保养单、竣工验收单）整理归档，客户联系人员变动及时更新客户名录，并及时更新客户微信群</w:t>
            </w:r>
          </w:p>
        </w:tc>
        <w:tc>
          <w:tcPr>
            <w:tcW w:w="53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依据公司单据验收标准（附件一）整理统计；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定期更新客户档案，确认客户群的入群人员有效，无效人员及时清退。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报告编写</w:t>
            </w: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根据客户需求协助维修组长或技术总监提供报告（维保总结报告、评估报告、溶液报告，水处理报告，维修建议、情况说明等）</w:t>
            </w:r>
          </w:p>
        </w:tc>
        <w:tc>
          <w:tcPr>
            <w:tcW w:w="53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标题，包括事由和公文名称；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上款：收文单位或主管领导人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正文：应有情况、说明、结论；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注意：报告情况应属实，建议明确，用语准确、得体。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业    务</w:t>
            </w: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合同续签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回款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老客户新需求</w:t>
            </w:r>
          </w:p>
        </w:tc>
        <w:tc>
          <w:tcPr>
            <w:tcW w:w="53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合同到期前一个月内，联系客户负责人谈续约；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到期款项及时联系客户开票、催款；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老客户新业务及时询价，制作报价方案，报价后及时跟进。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3082" w:firstLineChars="110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bookmarkStart w:id="0" w:name="_Toc24164"/>
      <w:bookmarkStart w:id="1" w:name="_Toc233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3082" w:firstLineChars="1100"/>
        <w:jc w:val="both"/>
        <w:textAlignment w:val="auto"/>
        <w:rPr>
          <w:rFonts w:hint="eastAsia" w:ascii="微软雅黑" w:hAnsi="微软雅黑" w:eastAsia="微软雅黑" w:cs="微软雅黑"/>
          <w:i w:val="0"/>
          <w:color w:val="000000"/>
          <w:kern w:val="2"/>
          <w:sz w:val="18"/>
          <w:szCs w:val="18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客服专员绩效</w:t>
      </w:r>
      <w:bookmarkEnd w:id="0"/>
      <w:bookmarkEnd w:id="1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考核评分标准</w:t>
      </w:r>
    </w:p>
    <w:tbl>
      <w:tblPr>
        <w:tblStyle w:val="3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405"/>
        <w:gridCol w:w="20"/>
        <w:gridCol w:w="1838"/>
        <w:gridCol w:w="4589"/>
        <w:gridCol w:w="924"/>
        <w:gridCol w:w="435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727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  <w:t>类别</w:t>
            </w:r>
          </w:p>
        </w:tc>
        <w:tc>
          <w:tcPr>
            <w:tcW w:w="2263" w:type="dxa"/>
            <w:gridSpan w:val="3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考核内容</w:t>
            </w:r>
          </w:p>
        </w:tc>
        <w:tc>
          <w:tcPr>
            <w:tcW w:w="458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评分标准</w:t>
            </w:r>
          </w:p>
        </w:tc>
        <w:tc>
          <w:tcPr>
            <w:tcW w:w="924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数据来源</w:t>
            </w:r>
          </w:p>
        </w:tc>
        <w:tc>
          <w:tcPr>
            <w:tcW w:w="4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  <w:t>配分</w:t>
            </w:r>
          </w:p>
        </w:tc>
        <w:tc>
          <w:tcPr>
            <w:tcW w:w="69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  <w:t>考评人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727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  <w:t>业务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30%</w:t>
            </w:r>
          </w:p>
        </w:tc>
        <w:tc>
          <w:tcPr>
            <w:tcW w:w="425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83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续约率</w:t>
            </w:r>
          </w:p>
        </w:tc>
        <w:tc>
          <w:tcPr>
            <w:tcW w:w="458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配分*续约率</w:t>
            </w:r>
          </w:p>
        </w:tc>
        <w:tc>
          <w:tcPr>
            <w:tcW w:w="924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直属上级</w:t>
            </w:r>
          </w:p>
        </w:tc>
        <w:tc>
          <w:tcPr>
            <w:tcW w:w="4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15</w:t>
            </w:r>
          </w:p>
        </w:tc>
        <w:tc>
          <w:tcPr>
            <w:tcW w:w="69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直属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上级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727" w:type="dxa"/>
            <w:vMerge w:val="continue"/>
            <w:tcBorders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</w:p>
        </w:tc>
        <w:tc>
          <w:tcPr>
            <w:tcW w:w="425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3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回款率</w:t>
            </w:r>
          </w:p>
        </w:tc>
        <w:tc>
          <w:tcPr>
            <w:tcW w:w="458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配分*回款率</w:t>
            </w:r>
          </w:p>
        </w:tc>
        <w:tc>
          <w:tcPr>
            <w:tcW w:w="924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财务回款</w:t>
            </w:r>
          </w:p>
        </w:tc>
        <w:tc>
          <w:tcPr>
            <w:tcW w:w="4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15</w:t>
            </w:r>
          </w:p>
        </w:tc>
        <w:tc>
          <w:tcPr>
            <w:tcW w:w="690" w:type="dxa"/>
            <w:vMerge w:val="continue"/>
            <w:tcBorders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727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关键绩效指标55%</w:t>
            </w:r>
          </w:p>
        </w:tc>
        <w:tc>
          <w:tcPr>
            <w:tcW w:w="40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858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派单</w:t>
            </w:r>
          </w:p>
        </w:tc>
        <w:tc>
          <w:tcPr>
            <w:tcW w:w="458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派单逾期每天扣2分，派单内容有错误每处扣1-2分。</w:t>
            </w:r>
          </w:p>
        </w:tc>
        <w:tc>
          <w:tcPr>
            <w:tcW w:w="924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直属上级</w:t>
            </w:r>
          </w:p>
        </w:tc>
        <w:tc>
          <w:tcPr>
            <w:tcW w:w="4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690" w:type="dxa"/>
            <w:vMerge w:val="continue"/>
            <w:tcBorders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727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858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客户服务效率与质量</w:t>
            </w:r>
          </w:p>
        </w:tc>
        <w:tc>
          <w:tcPr>
            <w:tcW w:w="458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响应超时每次扣1分；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解决方案超期每天扣2分；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当月客户无沟通记录每客户扣5分；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相关事项未登记每次扣2分，登记不全或不合格扣1分；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被客户投诉态度不佳每次扣5分。</w:t>
            </w:r>
          </w:p>
        </w:tc>
        <w:tc>
          <w:tcPr>
            <w:tcW w:w="924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直属上级</w:t>
            </w:r>
          </w:p>
        </w:tc>
        <w:tc>
          <w:tcPr>
            <w:tcW w:w="4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15</w:t>
            </w:r>
          </w:p>
        </w:tc>
        <w:tc>
          <w:tcPr>
            <w:tcW w:w="690" w:type="dxa"/>
            <w:vMerge w:val="continue"/>
            <w:tcBorders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727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858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工作跟进及协调</w:t>
            </w:r>
          </w:p>
        </w:tc>
        <w:tc>
          <w:tcPr>
            <w:tcW w:w="458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未进行施工提醒或微信群反馈，每客户每次扣1分；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施工进度/结果未汇总、未登记或未上报，每次扣1分；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各类施工问题未及时反馈至当事人，每次扣1分；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月底未及时汇总上报，每逾期一天扣1分；</w:t>
            </w:r>
          </w:p>
        </w:tc>
        <w:tc>
          <w:tcPr>
            <w:tcW w:w="924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信息中心</w:t>
            </w:r>
          </w:p>
        </w:tc>
        <w:tc>
          <w:tcPr>
            <w:tcW w:w="4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15</w:t>
            </w:r>
          </w:p>
        </w:tc>
        <w:tc>
          <w:tcPr>
            <w:tcW w:w="690" w:type="dxa"/>
            <w:vMerge w:val="continue"/>
            <w:tcBorders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44" w:hRule="atLeast"/>
          <w:jc w:val="center"/>
        </w:trPr>
        <w:tc>
          <w:tcPr>
            <w:tcW w:w="727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1858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客户档案管理</w:t>
            </w:r>
          </w:p>
        </w:tc>
        <w:tc>
          <w:tcPr>
            <w:tcW w:w="458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（1）客户电子版档案、平台档案和纸质档案，有变化时当日更新</w:t>
            </w:r>
          </w:p>
        </w:tc>
        <w:tc>
          <w:tcPr>
            <w:tcW w:w="924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信息上级</w:t>
            </w:r>
          </w:p>
        </w:tc>
        <w:tc>
          <w:tcPr>
            <w:tcW w:w="4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690" w:type="dxa"/>
            <w:vMerge w:val="continue"/>
            <w:tcBorders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727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1858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其它</w:t>
            </w:r>
          </w:p>
        </w:tc>
        <w:tc>
          <w:tcPr>
            <w:tcW w:w="458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上级安排的其他工作按时按质完成</w:t>
            </w:r>
          </w:p>
        </w:tc>
        <w:tc>
          <w:tcPr>
            <w:tcW w:w="924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直属上级</w:t>
            </w:r>
          </w:p>
        </w:tc>
        <w:tc>
          <w:tcPr>
            <w:tcW w:w="4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690" w:type="dxa"/>
            <w:vMerge w:val="continue"/>
            <w:tcBorders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727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工作态度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15%</w:t>
            </w:r>
          </w:p>
        </w:tc>
        <w:tc>
          <w:tcPr>
            <w:tcW w:w="40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  <w:t>1</w:t>
            </w:r>
          </w:p>
        </w:tc>
        <w:tc>
          <w:tcPr>
            <w:tcW w:w="1858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  <w:t>主动性</w:t>
            </w:r>
          </w:p>
        </w:tc>
        <w:tc>
          <w:tcPr>
            <w:tcW w:w="4589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  <w:t>直属上级参照《附件二、工作态度评价标准》评分</w:t>
            </w:r>
          </w:p>
        </w:tc>
        <w:tc>
          <w:tcPr>
            <w:tcW w:w="924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直属上级</w:t>
            </w:r>
          </w:p>
        </w:tc>
        <w:tc>
          <w:tcPr>
            <w:tcW w:w="4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690" w:type="dxa"/>
            <w:vMerge w:val="continue"/>
            <w:tcBorders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727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18"/>
                <w:szCs w:val="18"/>
                <w:lang w:val="en-GB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58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  <w:t>积极性</w:t>
            </w:r>
          </w:p>
        </w:tc>
        <w:tc>
          <w:tcPr>
            <w:tcW w:w="4589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</w:p>
        </w:tc>
        <w:tc>
          <w:tcPr>
            <w:tcW w:w="924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</w:p>
        </w:tc>
        <w:tc>
          <w:tcPr>
            <w:tcW w:w="4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690" w:type="dxa"/>
            <w:vMerge w:val="continue"/>
            <w:tcBorders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727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58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  <w:t>执行力</w:t>
            </w:r>
          </w:p>
        </w:tc>
        <w:tc>
          <w:tcPr>
            <w:tcW w:w="4589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</w:p>
        </w:tc>
        <w:tc>
          <w:tcPr>
            <w:tcW w:w="924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</w:p>
        </w:tc>
        <w:tc>
          <w:tcPr>
            <w:tcW w:w="4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690" w:type="dxa"/>
            <w:vMerge w:val="continue"/>
            <w:tcBorders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727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1858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  <w:t>敬业精神</w:t>
            </w:r>
          </w:p>
        </w:tc>
        <w:tc>
          <w:tcPr>
            <w:tcW w:w="4589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</w:p>
        </w:tc>
        <w:tc>
          <w:tcPr>
            <w:tcW w:w="924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</w:p>
        </w:tc>
        <w:tc>
          <w:tcPr>
            <w:tcW w:w="4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690" w:type="dxa"/>
            <w:vMerge w:val="continue"/>
            <w:tcBorders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727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1858" w:type="dxa"/>
            <w:gridSpan w:val="2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  <w:t>责任心</w:t>
            </w:r>
          </w:p>
        </w:tc>
        <w:tc>
          <w:tcPr>
            <w:tcW w:w="4589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</w:p>
        </w:tc>
        <w:tc>
          <w:tcPr>
            <w:tcW w:w="924" w:type="dxa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</w:p>
        </w:tc>
        <w:tc>
          <w:tcPr>
            <w:tcW w:w="4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690" w:type="dxa"/>
            <w:vMerge w:val="continue"/>
            <w:tcBorders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0" w:type="dxa"/>
          <w:trHeight w:val="432" w:hRule="atLeast"/>
          <w:jc w:val="center"/>
        </w:trPr>
        <w:tc>
          <w:tcPr>
            <w:tcW w:w="8503" w:type="dxa"/>
            <w:gridSpan w:val="6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GB" w:eastAsia="zh-CN" w:bidi="ar-SA"/>
              </w:rPr>
              <w:t>合计</w:t>
            </w:r>
          </w:p>
        </w:tc>
        <w:tc>
          <w:tcPr>
            <w:tcW w:w="435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  <w:t>附件一</w:t>
      </w:r>
    </w:p>
    <w:p>
      <w:pPr>
        <w:pStyle w:val="2"/>
        <w:bidi w:val="0"/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维修保养单据验收标准</w:t>
      </w:r>
    </w:p>
    <w:p>
      <w:pPr>
        <w:spacing w:line="56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   签发人：</w:t>
      </w:r>
      <w:r>
        <w:rPr>
          <w:rFonts w:hint="eastAsia" w:ascii="楷体" w:hAnsi="楷体" w:eastAsia="楷体" w:cs="楷体"/>
          <w:bCs/>
          <w:sz w:val="32"/>
          <w:szCs w:val="32"/>
        </w:rPr>
        <w:t>徐利斌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 w:firstLineChars="200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为了规范维修保养单据验收标准，提高客户服务质量，为客户验收结算和包干费结算提供依据，特制定此标准。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适用范围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维修中心全体员工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责权划分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各维修组负责分管区域内设备的维修保养，按立项要求按时按质提供服务，并按要求将服务单据照片提交至平台，原件交客服中心。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客服中心负责监督，客户回访，核实服务结果与客户满意度后，通过平台进行验收，并于每月25日汇总当月维修保养结果并上报总经理。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区域分工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国贸维修项目组：分管主管万树壮，分管客服王梦飞。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望京维修项目组：分管主管郭佩港，分管客服赵沙。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中关村维修项目组：分管主管栗建龙，分管客服向丹丹。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客服部验收标准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巡检验收标准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将机组运行参数照片、验收单据照片发至客户服务微信群，并进行简要说明，根据情况不同，可参考如下说明方案：</w:t>
      </w:r>
    </w:p>
    <w:p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0"/>
        <w:jc w:val="left"/>
        <w:textAlignment w:val="auto"/>
        <w:rPr>
          <w:rFonts w:hint="eastAsia" w:ascii="微软雅黑" w:hAnsi="微软雅黑" w:eastAsia="微软雅黑" w:cs="微软雅黑"/>
          <w:color w:val="0000FF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18"/>
          <w:szCs w:val="18"/>
          <w:lang w:val="en-US" w:eastAsia="zh-CN"/>
        </w:rPr>
        <w:t>尊敬的各位领导，本月对贵单位机组巡检工作已完成，在本次巡检中，未发现机组异常现象，各项参数正常，运行效果良好。</w:t>
      </w:r>
    </w:p>
    <w:p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0"/>
        <w:jc w:val="left"/>
        <w:textAlignment w:val="auto"/>
        <w:rPr>
          <w:rFonts w:hint="eastAsia" w:ascii="微软雅黑" w:hAnsi="微软雅黑" w:eastAsia="微软雅黑" w:cs="微软雅黑"/>
          <w:color w:val="0000FF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18"/>
          <w:szCs w:val="18"/>
          <w:lang w:val="en-US" w:eastAsia="zh-CN"/>
        </w:rPr>
        <w:t>尊敬的各位领导，本月对贵单位机组巡检工作已完成，在本次巡视中，发现机组有XXX现象，将导致机组出现XXX故障，现经过维修调整，隐患已消除，机组运行正常，各项参数正常，运行效果良好。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换季保养验收标准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将机组各部分保养前/中/后照片、验收单据照片发至客户服务微信群，并进行简要说明，根据情况不同，可参考如下说明方案：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FF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18"/>
          <w:szCs w:val="18"/>
          <w:lang w:val="en-US" w:eastAsia="zh-CN"/>
        </w:rPr>
        <w:t>尊敬的各位领导，我司已按合同约定对贵单位机组进行了换季保养工作，机组已切换至XX模式，现将保养前后对比照片发布如下，请各位领导查阅。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故障报修验收标准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将机组维修前/中/后照片、运行参数照片、施工记录单照片发至客户服务微信群，并进行简要说明，根据情况不同，可参考如下说明方案：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color w:val="0000FF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18"/>
          <w:szCs w:val="18"/>
          <w:lang w:val="en-US" w:eastAsia="zh-CN"/>
        </w:rPr>
        <w:t>尊敬的各位领导，本次机组产生故障的原因是XXX，现已维修完毕，各项参数显示正常，恢复正常运行，如后续再有其他故障，请及时在本群报修。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其他 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巡检、换季保养、故障报修施工照片要求清晰，完整，带日期和地点水印，验收单原件每月25日前统一交客服部汇总存档。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施工照片和客户签字的验收单据，当日按标准发至客户服务微信群，一周内上传平台，当月内将原件交客服中心，缺一不可，否则视为服务未完成，分管客服不得验收。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本制度自2021年9月1日起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400" w:firstLineChars="3000"/>
        <w:jc w:val="both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北京三汇能环科技发展有限公司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                                              </w:t>
      </w:r>
      <w:r>
        <w:rPr>
          <w:rFonts w:hint="eastAsia" w:ascii="微软雅黑" w:hAnsi="微软雅黑" w:eastAsia="微软雅黑" w:cs="微软雅黑"/>
          <w:sz w:val="18"/>
          <w:szCs w:val="18"/>
        </w:rPr>
        <w:t>二〇二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18"/>
          <w:szCs w:val="18"/>
        </w:rPr>
        <w:t>年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九</w:t>
      </w:r>
      <w:r>
        <w:rPr>
          <w:rFonts w:hint="eastAsia" w:ascii="微软雅黑" w:hAnsi="微软雅黑" w:eastAsia="微软雅黑" w:cs="微软雅黑"/>
          <w:sz w:val="18"/>
          <w:szCs w:val="18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  <w:t>附件二</w:t>
      </w:r>
      <w:bookmarkStart w:id="2" w:name="_GoBack"/>
      <w:bookmarkEnd w:id="2"/>
    </w:p>
    <w:tbl>
      <w:tblPr>
        <w:tblStyle w:val="3"/>
        <w:tblpPr w:leftFromText="180" w:rightFromText="180" w:vertAnchor="text" w:horzAnchor="page" w:tblpX="1115" w:tblpY="380"/>
        <w:tblOverlap w:val="never"/>
        <w:tblW w:w="9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7800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  <w:jc w:val="center"/>
        </w:trPr>
        <w:tc>
          <w:tcPr>
            <w:tcW w:w="9886" w:type="dxa"/>
            <w:gridSpan w:val="3"/>
            <w:tcBorders>
              <w:top w:val="dotted" w:color="auto" w:sz="8" w:space="0"/>
              <w:left w:val="dotted" w:color="auto" w:sz="8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工作态度评价标准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  <w:jc w:val="center"/>
        </w:trPr>
        <w:tc>
          <w:tcPr>
            <w:tcW w:w="1387" w:type="dxa"/>
            <w:tcBorders>
              <w:top w:val="dotted" w:color="auto" w:sz="8" w:space="0"/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内容</w:t>
            </w:r>
          </w:p>
        </w:tc>
        <w:tc>
          <w:tcPr>
            <w:tcW w:w="7800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699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配分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  <w:jc w:val="center"/>
        </w:trPr>
        <w:tc>
          <w:tcPr>
            <w:tcW w:w="1387" w:type="dxa"/>
            <w:vMerge w:val="restart"/>
            <w:tcBorders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4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主动性</w:t>
            </w:r>
          </w:p>
        </w:tc>
        <w:tc>
          <w:tcPr>
            <w:tcW w:w="7800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即使没有指示，也能主动做好工作</w:t>
            </w:r>
          </w:p>
        </w:tc>
        <w:tc>
          <w:tcPr>
            <w:tcW w:w="699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在没有领导指示时，基本上能够主动工作，并取得一定的效果</w:t>
            </w:r>
          </w:p>
        </w:tc>
        <w:tc>
          <w:tcPr>
            <w:tcW w:w="699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基本上依靠领导的安排来开展工作</w:t>
            </w:r>
          </w:p>
        </w:tc>
        <w:tc>
          <w:tcPr>
            <w:tcW w:w="699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领导没有指示时，无法独立开展工作</w:t>
            </w:r>
          </w:p>
        </w:tc>
        <w:tc>
          <w:tcPr>
            <w:tcW w:w="699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387" w:type="dxa"/>
            <w:vMerge w:val="restart"/>
            <w:tcBorders>
              <w:top w:val="dotted" w:color="auto" w:sz="4" w:space="0"/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4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积极性</w:t>
            </w: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积极寻求解决问题的方案，即使困难的工作，也主动承担，积极去完成，并且完成效果较好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一般的工作都能主动承担，积极完成，对一些难度大的工作也主动承担，积极完成，但效果一般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一般的工作能主动承担，积极完成，难度大的工作不敢承担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有工作就互相推诿，不积极主动寻求问题的解决方案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387" w:type="dxa"/>
            <w:vMerge w:val="restart"/>
            <w:tcBorders>
              <w:top w:val="dotted" w:color="auto" w:sz="4" w:space="0"/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4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执行力</w:t>
            </w: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绝对服从领导安排；合理分解手头的工作，上级领导安排的工作执行非常到位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对上级领导安排的工作，服从性较好；适时监督、检查、执行上级领导安排的工作，执行情况良好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有时不服从上级领导的安排；有时上级领导安排的工作执行不到位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很多时候不服从上级领导的安排；上级领导安排的工作经常执行不到位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1387" w:type="dxa"/>
            <w:vMerge w:val="restart"/>
            <w:tcBorders>
              <w:top w:val="dotted" w:color="auto" w:sz="4" w:space="0"/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4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敬业精神</w:t>
            </w: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爱岗敬业，工作热情高，主动承担上级领导交办的临时任务，主动解决工作中的问题，任劳任怨，勤勤恳恳；处处以企业大局为重，毫无怨言，并出色完成上级领导交给的工作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热爱本职工作，态度端正，做事踏实，基本上做到“今日事，今日毕”；绝大多数时候都能做到以企业大局为重，主动牺牲个人利益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虽然有一定的解决问题的能力，但工作热情不是很高；在个人利益和公司集体利益发生冲突的时候表现一般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积极性不高，对工作失误推卸责任，不善于灵活处理工作中的问题；个人主义较强，在休息时间对公司的突发事件等，总是给自己找借口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1387" w:type="dxa"/>
            <w:vMerge w:val="restart"/>
            <w:tcBorders>
              <w:top w:val="dotted" w:color="auto" w:sz="4" w:space="0"/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4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责任心</w:t>
            </w: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坚决履行自己的职责，敢于承担责任，从不推卸责任，诚实守信，廉洁奉公，出现问题，明确、合理地落实相关责任人；工作踏实，一丝不苟，坚持原则，严格遵守公司各项规章制度，处处起到模范带头作用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履行职责，大多数情况下都敢于承担责任，并合理落实相关责任人；工作比较认真，严以律己，大多数情况下，能起到模范带头作用；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基本上能够履行职责，有时出现问题害怕承担责任；工作态度、自觉性一般，模范表率一般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1387" w:type="dxa"/>
            <w:vMerge w:val="continue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800" w:type="dxa"/>
            <w:tcBorders>
              <w:top w:val="dotted" w:color="auto" w:sz="4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工作职责落实不到位，不敢承担工作责任，互相推诿；工作态度不端正，经常违反公司的管理制度，模范表率差</w:t>
            </w:r>
          </w:p>
        </w:tc>
        <w:tc>
          <w:tcPr>
            <w:tcW w:w="699" w:type="dxa"/>
            <w:tcBorders>
              <w:top w:val="dotted" w:color="auto" w:sz="4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>
      <w:pPr>
        <w:wordWrap w:val="0"/>
        <w:spacing w:line="360" w:lineRule="auto"/>
        <w:ind w:right="840"/>
        <w:rPr>
          <w:rFonts w:hint="eastAsia" w:ascii="微软雅黑" w:hAnsi="微软雅黑" w:eastAsia="微软雅黑" w:cs="微软雅黑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CADE1"/>
    <w:multiLevelType w:val="singleLevel"/>
    <w:tmpl w:val="83BCADE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7A5A3D9"/>
    <w:multiLevelType w:val="singleLevel"/>
    <w:tmpl w:val="A7A5A3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D845B6"/>
    <w:multiLevelType w:val="singleLevel"/>
    <w:tmpl w:val="BFD845B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CBDAB776"/>
    <w:multiLevelType w:val="singleLevel"/>
    <w:tmpl w:val="CBDAB7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41DCB3C"/>
    <w:multiLevelType w:val="singleLevel"/>
    <w:tmpl w:val="D41DCB3C"/>
    <w:lvl w:ilvl="0" w:tentative="0">
      <w:start w:val="1"/>
      <w:numFmt w:val="chineseCounting"/>
      <w:suff w:val="nothing"/>
      <w:lvlText w:val="%1、"/>
      <w:lvlJc w:val="left"/>
      <w:pPr>
        <w:ind w:left="0" w:firstLine="567"/>
      </w:pPr>
      <w:rPr>
        <w:rFonts w:hint="eastAsia"/>
      </w:rPr>
    </w:lvl>
  </w:abstractNum>
  <w:abstractNum w:abstractNumId="5">
    <w:nsid w:val="132FD6FD"/>
    <w:multiLevelType w:val="singleLevel"/>
    <w:tmpl w:val="132FD6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5C2F5C2"/>
    <w:multiLevelType w:val="singleLevel"/>
    <w:tmpl w:val="15C2F5C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24293573"/>
    <w:multiLevelType w:val="singleLevel"/>
    <w:tmpl w:val="24293573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8">
    <w:nsid w:val="28A1A7EC"/>
    <w:multiLevelType w:val="singleLevel"/>
    <w:tmpl w:val="28A1A7E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2903B407"/>
    <w:multiLevelType w:val="singleLevel"/>
    <w:tmpl w:val="2903B40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45BAA9DC"/>
    <w:multiLevelType w:val="singleLevel"/>
    <w:tmpl w:val="45BAA9D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662FD11D"/>
    <w:multiLevelType w:val="singleLevel"/>
    <w:tmpl w:val="662FD1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8A0947B"/>
    <w:multiLevelType w:val="singleLevel"/>
    <w:tmpl w:val="78A0947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7E645BA2"/>
    <w:multiLevelType w:val="singleLevel"/>
    <w:tmpl w:val="7E645BA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5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B6BBC"/>
    <w:rsid w:val="03793438"/>
    <w:rsid w:val="053F666F"/>
    <w:rsid w:val="070E212E"/>
    <w:rsid w:val="08AB50D3"/>
    <w:rsid w:val="08F0094D"/>
    <w:rsid w:val="0C16577C"/>
    <w:rsid w:val="0F1457CB"/>
    <w:rsid w:val="104063FD"/>
    <w:rsid w:val="107E118D"/>
    <w:rsid w:val="117504AC"/>
    <w:rsid w:val="11A22153"/>
    <w:rsid w:val="12CD4515"/>
    <w:rsid w:val="13231A5D"/>
    <w:rsid w:val="154569D3"/>
    <w:rsid w:val="158C031E"/>
    <w:rsid w:val="16D916DB"/>
    <w:rsid w:val="18040AF5"/>
    <w:rsid w:val="19403B5B"/>
    <w:rsid w:val="1F4330F7"/>
    <w:rsid w:val="216877B5"/>
    <w:rsid w:val="21C5020B"/>
    <w:rsid w:val="227E4F5D"/>
    <w:rsid w:val="22847D3E"/>
    <w:rsid w:val="22BB3567"/>
    <w:rsid w:val="23835549"/>
    <w:rsid w:val="2607671C"/>
    <w:rsid w:val="27233609"/>
    <w:rsid w:val="279F31E4"/>
    <w:rsid w:val="2A195691"/>
    <w:rsid w:val="2C4B48AE"/>
    <w:rsid w:val="2CFD7D75"/>
    <w:rsid w:val="30AA3E38"/>
    <w:rsid w:val="30C977E9"/>
    <w:rsid w:val="318F215A"/>
    <w:rsid w:val="36374E75"/>
    <w:rsid w:val="36C01DC3"/>
    <w:rsid w:val="40750DA0"/>
    <w:rsid w:val="40EA4E8E"/>
    <w:rsid w:val="426C1D98"/>
    <w:rsid w:val="429C5EDD"/>
    <w:rsid w:val="43262681"/>
    <w:rsid w:val="453E0449"/>
    <w:rsid w:val="468517F1"/>
    <w:rsid w:val="495A6CF6"/>
    <w:rsid w:val="49823E46"/>
    <w:rsid w:val="4A486975"/>
    <w:rsid w:val="4C8560CC"/>
    <w:rsid w:val="4C880991"/>
    <w:rsid w:val="4DD15777"/>
    <w:rsid w:val="4E222EC6"/>
    <w:rsid w:val="53EC514F"/>
    <w:rsid w:val="56743D02"/>
    <w:rsid w:val="56F515B5"/>
    <w:rsid w:val="60C93859"/>
    <w:rsid w:val="60CE4DB9"/>
    <w:rsid w:val="619F6EBC"/>
    <w:rsid w:val="62D07060"/>
    <w:rsid w:val="62DE1993"/>
    <w:rsid w:val="64B12169"/>
    <w:rsid w:val="673F4B86"/>
    <w:rsid w:val="67880D2B"/>
    <w:rsid w:val="68596251"/>
    <w:rsid w:val="6B1F440F"/>
    <w:rsid w:val="6C8467B1"/>
    <w:rsid w:val="6D657504"/>
    <w:rsid w:val="6DC6258C"/>
    <w:rsid w:val="6ED720E1"/>
    <w:rsid w:val="6FEE2E31"/>
    <w:rsid w:val="70B81824"/>
    <w:rsid w:val="7C77000D"/>
    <w:rsid w:val="7F36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jc w:val="left"/>
      <w:outlineLvl w:val="1"/>
    </w:pPr>
    <w:rPr>
      <w:rFonts w:ascii="Times New Roman" w:hAnsi="Times New Roman" w:eastAsia="宋体"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2020-05-07T05:53:00Z</dcterms:created>
  <dc:creator>Administrator</dc:creator>
  <cp:lastModifiedBy>逐心</cp:lastModifiedBy>
  <dcterms:modified xsi:type="dcterms:W3CDTF">2021-09-08T08:33:37Z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