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 xml:space="preserve"> 风机房抢修项目报价单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天津班尼路商场领导：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得知商场五层风机房要抢修，我公司及时到现场看活，根据我们的经验，从抢修到恢复运行报价费用如下：</w:t>
      </w:r>
    </w:p>
    <w:tbl>
      <w:tblPr>
        <w:tblStyle w:val="3"/>
        <w:tblpPr w:leftFromText="180" w:rightFromText="180" w:vertAnchor="text" w:horzAnchor="page" w:tblpX="2862" w:tblpY="433"/>
        <w:tblOverlap w:val="never"/>
        <w:tblW w:w="6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87"/>
        <w:gridCol w:w="804"/>
        <w:gridCol w:w="723"/>
        <w:gridCol w:w="83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项目名称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数量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风机轴承更换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1270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风机皮带轮更换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2300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电机更换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7800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电机皮带轮更换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2300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购4条新皮带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条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人工拆卸工时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4*4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工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动平衡调试费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电气线路检测费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电器元件维修费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租车运输费</w:t>
            </w:r>
          </w:p>
        </w:tc>
        <w:tc>
          <w:tcPr>
            <w:tcW w:w="804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包干</w:t>
            </w:r>
          </w:p>
        </w:tc>
        <w:tc>
          <w:tcPr>
            <w:tcW w:w="7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-----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1500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0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         合计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0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2774315</wp:posOffset>
                  </wp:positionH>
                  <wp:positionV relativeFrom="paragraph">
                    <wp:posOffset>362585</wp:posOffset>
                  </wp:positionV>
                  <wp:extent cx="1619885" cy="1668145"/>
                  <wp:effectExtent l="0" t="0" r="18415" b="8255"/>
                  <wp:wrapNone/>
                  <wp:docPr id="1" name="图片 1" descr="7852f950434d1b1881cff6913bfe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852f950434d1b1881cff6913bfee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       含税总计（9%）</w:t>
            </w:r>
          </w:p>
        </w:tc>
        <w:tc>
          <w:tcPr>
            <w:tcW w:w="1118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33593.8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</w:t>
      </w: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北京荣辉洁源科技发展有限公司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2021年6月18日   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6E09"/>
    <w:rsid w:val="51972EA7"/>
    <w:rsid w:val="750367BC"/>
    <w:rsid w:val="7FE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2021-07-01T07:44:49Z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