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jc w:val="center"/>
        <w:rPr>
          <w:sz w:val="72"/>
          <w:szCs w:val="32"/>
          <w:lang w:eastAsia="zh-CN"/>
        </w:rPr>
      </w:pPr>
    </w:p>
    <w:p>
      <w:pPr>
        <w:pStyle w:val="11"/>
        <w:spacing w:line="360" w:lineRule="auto"/>
        <w:jc w:val="center"/>
        <w:rPr>
          <w:sz w:val="72"/>
          <w:szCs w:val="32"/>
          <w:lang w:eastAsia="zh-CN"/>
        </w:rPr>
      </w:pPr>
    </w:p>
    <w:p>
      <w:pPr>
        <w:pStyle w:val="11"/>
        <w:spacing w:line="360" w:lineRule="auto"/>
        <w:ind w:left="660" w:leftChars="300" w:right="526" w:rightChars="239" w:firstLine="0" w:firstLineChars="0"/>
        <w:jc w:val="center"/>
        <w:rPr>
          <w:sz w:val="56"/>
          <w:szCs w:val="28"/>
          <w:lang w:eastAsia="zh-CN"/>
        </w:rPr>
      </w:pPr>
      <w:r>
        <w:rPr>
          <w:rFonts w:hint="eastAsia"/>
          <w:sz w:val="56"/>
          <w:szCs w:val="28"/>
          <w:lang w:eastAsia="zh-CN"/>
        </w:rPr>
        <w:t>中国邮政集团有限公司济南市分公司中央空调系统维保项目二次</w:t>
      </w:r>
    </w:p>
    <w:p>
      <w:pPr>
        <w:pStyle w:val="11"/>
        <w:jc w:val="center"/>
        <w:rPr>
          <w:sz w:val="52"/>
        </w:rPr>
      </w:pPr>
    </w:p>
    <w:p>
      <w:pPr>
        <w:pStyle w:val="11"/>
        <w:spacing w:before="5"/>
        <w:rPr>
          <w:sz w:val="40"/>
        </w:rPr>
      </w:pPr>
    </w:p>
    <w:p>
      <w:pPr>
        <w:spacing w:before="1"/>
        <w:ind w:left="2113"/>
        <w:rPr>
          <w:sz w:val="56"/>
          <w:szCs w:val="20"/>
        </w:rPr>
      </w:pPr>
    </w:p>
    <w:p>
      <w:pPr>
        <w:spacing w:before="1"/>
        <w:ind w:left="2113"/>
        <w:rPr>
          <w:sz w:val="86"/>
        </w:rPr>
      </w:pPr>
      <w:r>
        <w:rPr>
          <w:sz w:val="86"/>
        </w:rPr>
        <w:t>竞争性磋商文件</w:t>
      </w:r>
    </w:p>
    <w:p>
      <w:pPr>
        <w:pStyle w:val="7"/>
        <w:spacing w:before="693"/>
        <w:ind w:left="2884"/>
        <w:jc w:val="both"/>
      </w:pPr>
      <w:r>
        <w:t>(项目编号：</w:t>
      </w:r>
      <w:r>
        <w:rPr>
          <w:rFonts w:hint="eastAsia"/>
          <w:lang w:eastAsia="zh-CN"/>
        </w:rPr>
        <w:t>YZJNFGS202106-CS001</w:t>
      </w:r>
      <w:r>
        <w:t>)</w:t>
      </w:r>
    </w:p>
    <w:p>
      <w:pPr>
        <w:pStyle w:val="11"/>
        <w:rPr>
          <w:sz w:val="32"/>
        </w:rPr>
      </w:pPr>
    </w:p>
    <w:p>
      <w:pPr>
        <w:pStyle w:val="11"/>
        <w:rPr>
          <w:sz w:val="32"/>
        </w:rPr>
      </w:pPr>
    </w:p>
    <w:p>
      <w:pPr>
        <w:pStyle w:val="11"/>
        <w:rPr>
          <w:sz w:val="32"/>
        </w:rPr>
      </w:pPr>
    </w:p>
    <w:p>
      <w:pPr>
        <w:spacing w:before="1" w:line="364" w:lineRule="auto"/>
        <w:ind w:left="1856" w:right="912" w:hanging="44"/>
        <w:rPr>
          <w:rFonts w:hint="eastAsia" w:eastAsia="仿宋"/>
          <w:sz w:val="32"/>
          <w:lang w:eastAsia="zh-CN"/>
        </w:rPr>
      </w:pPr>
      <w:r>
        <w:rPr>
          <w:sz w:val="32"/>
        </w:rPr>
        <w:t>采购单位：</w:t>
      </w:r>
      <w:r>
        <w:rPr>
          <w:rFonts w:hint="eastAsia"/>
          <w:sz w:val="32"/>
          <w:lang w:eastAsia="zh-CN"/>
        </w:rPr>
        <w:t>中国邮政集团有限公司济南市分公司</w:t>
      </w:r>
    </w:p>
    <w:p>
      <w:pPr>
        <w:spacing w:before="1" w:line="364" w:lineRule="auto"/>
        <w:ind w:left="1856" w:right="912" w:hanging="44"/>
        <w:rPr>
          <w:sz w:val="32"/>
          <w:lang w:eastAsia="zh-CN"/>
        </w:rPr>
      </w:pPr>
      <w:r>
        <w:rPr>
          <w:rFonts w:hint="eastAsia"/>
          <w:sz w:val="32"/>
          <w:lang w:eastAsia="zh-CN"/>
        </w:rPr>
        <w:t>采购</w:t>
      </w:r>
      <w:r>
        <w:rPr>
          <w:sz w:val="32"/>
        </w:rPr>
        <w:t>代理机构：</w:t>
      </w:r>
      <w:r>
        <w:rPr>
          <w:rFonts w:hint="eastAsia"/>
          <w:sz w:val="32"/>
          <w:lang w:eastAsia="zh-CN"/>
        </w:rPr>
        <w:t>山东三誉招标代理有限公司</w:t>
      </w:r>
    </w:p>
    <w:p>
      <w:pPr>
        <w:spacing w:before="1" w:line="364" w:lineRule="auto"/>
        <w:ind w:left="1856" w:right="912" w:hanging="44"/>
        <w:rPr>
          <w:sz w:val="32"/>
          <w:lang w:eastAsia="zh-CN"/>
        </w:rPr>
      </w:pPr>
    </w:p>
    <w:p>
      <w:pPr>
        <w:spacing w:line="409" w:lineRule="exact"/>
        <w:ind w:left="442" w:right="441"/>
        <w:jc w:val="center"/>
        <w:rPr>
          <w:rFonts w:hint="eastAsia" w:eastAsia="仿宋"/>
          <w:sz w:val="32"/>
          <w:lang w:eastAsia="zh-CN"/>
        </w:rPr>
        <w:sectPr>
          <w:pgSz w:w="11906" w:h="16838"/>
          <w:pgMar w:top="1440" w:right="850" w:bottom="1440" w:left="850" w:header="851" w:footer="992" w:gutter="0"/>
          <w:cols w:space="425" w:num="1"/>
          <w:docGrid w:type="lines" w:linePitch="312" w:charSpace="0"/>
        </w:sectPr>
      </w:pPr>
      <w:r>
        <w:rPr>
          <w:rFonts w:hint="eastAsia"/>
          <w:sz w:val="32"/>
          <w:lang w:eastAsia="zh-CN"/>
        </w:rPr>
        <w:t>二○二一年</w:t>
      </w:r>
      <w:r>
        <w:rPr>
          <w:rFonts w:hint="eastAsia"/>
          <w:sz w:val="32"/>
          <w:lang w:val="en-US" w:eastAsia="zh-CN"/>
        </w:rPr>
        <w:t>六</w:t>
      </w:r>
      <w:r>
        <w:rPr>
          <w:rFonts w:hint="eastAsia"/>
          <w:sz w:val="32"/>
          <w:lang w:eastAsia="zh-CN"/>
        </w:rPr>
        <w:t>月</w:t>
      </w:r>
    </w:p>
    <w:sdt>
      <w:sdtPr>
        <w:rPr>
          <w:rFonts w:ascii="宋体" w:hAnsi="宋体" w:eastAsia="宋体"/>
          <w:color w:val="000000"/>
          <w:spacing w:val="-3"/>
          <w:sz w:val="21"/>
        </w:rPr>
        <w:id w:val="147456330"/>
        <w:docPartObj>
          <w:docPartGallery w:val="Table of Contents"/>
          <w:docPartUnique/>
        </w:docPartObj>
      </w:sdtPr>
      <w:sdtEndPr>
        <w:rPr>
          <w:rFonts w:hint="eastAsia" w:ascii="Times New Roman" w:hAnsi="Times New Roman" w:eastAsia="宋体" w:cs="Times New Roman"/>
          <w:color w:val="000000"/>
          <w:spacing w:val="-3"/>
          <w:sz w:val="24"/>
          <w:szCs w:val="36"/>
          <w:lang w:val="en-US" w:eastAsia="zh-CN" w:bidi="ar-SA"/>
        </w:rPr>
      </w:sdtEndPr>
      <w:sdtContent>
        <w:p>
          <w:pPr>
            <w:spacing w:line="360" w:lineRule="auto"/>
            <w:jc w:val="center"/>
            <w:rPr>
              <w:sz w:val="24"/>
              <w:szCs w:val="24"/>
            </w:rPr>
          </w:pPr>
          <w:r>
            <w:rPr>
              <w:rFonts w:hint="eastAsia"/>
              <w:sz w:val="24"/>
              <w:szCs w:val="24"/>
            </w:rPr>
            <w:t>目录</w:t>
          </w:r>
        </w:p>
        <w:p>
          <w:pPr>
            <w:pStyle w:val="30"/>
            <w:tabs>
              <w:tab w:val="right" w:leader="dot" w:pos="10206"/>
            </w:tabs>
            <w:spacing w:line="360" w:lineRule="auto"/>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"1-1" \h \u </w:instrText>
          </w:r>
          <w:r>
            <w:rPr>
              <w:rFonts w:hint="eastAsia" w:ascii="仿宋" w:hAnsi="仿宋" w:eastAsia="仿宋" w:cs="仿宋"/>
              <w:sz w:val="24"/>
              <w:szCs w:val="24"/>
            </w:rPr>
            <w:fldChar w:fldCharType="separate"/>
          </w:r>
          <w:r>
            <w:fldChar w:fldCharType="begin"/>
          </w:r>
          <w:r>
            <w:instrText xml:space="preserve"> HYPERLINK \l "_Toc2619" </w:instrText>
          </w:r>
          <w:r>
            <w:fldChar w:fldCharType="separate"/>
          </w:r>
          <w:r>
            <w:rPr>
              <w:rFonts w:hint="eastAsia" w:ascii="仿宋" w:hAnsi="仿宋" w:eastAsia="仿宋" w:cs="仿宋"/>
              <w:sz w:val="24"/>
              <w:szCs w:val="24"/>
            </w:rPr>
            <w:t>第一章 竞争性磋商公告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_Toc2619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"_Toc28460" </w:instrText>
          </w:r>
          <w:r>
            <w:fldChar w:fldCharType="separate"/>
          </w:r>
          <w:r>
            <w:rPr>
              <w:rFonts w:hint="eastAsia" w:ascii="仿宋" w:hAnsi="仿宋" w:eastAsia="仿宋" w:cs="仿宋"/>
              <w:sz w:val="24"/>
              <w:szCs w:val="24"/>
            </w:rPr>
            <w:t>第二章 供应商须知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_Toc28460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"_Toc22120" </w:instrText>
          </w:r>
          <w:r>
            <w:fldChar w:fldCharType="separate"/>
          </w:r>
          <w:r>
            <w:rPr>
              <w:rFonts w:hint="eastAsia" w:ascii="仿宋" w:hAnsi="仿宋" w:eastAsia="仿宋" w:cs="仿宋"/>
              <w:sz w:val="24"/>
              <w:szCs w:val="24"/>
              <w:lang w:val="ja-JP" w:eastAsia="ja-JP"/>
            </w:rPr>
            <w:t>一、说明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_Toc22120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"_Toc3769" </w:instrText>
          </w:r>
          <w:r>
            <w:fldChar w:fldCharType="separate"/>
          </w:r>
          <w:r>
            <w:rPr>
              <w:rFonts w:hint="eastAsia" w:ascii="仿宋" w:hAnsi="仿宋" w:eastAsia="仿宋" w:cs="仿宋"/>
              <w:sz w:val="24"/>
              <w:szCs w:val="24"/>
              <w:lang w:val="ja-JP" w:eastAsia="ja-JP"/>
            </w:rPr>
            <w:t>二、磋商文件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_Toc3769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"_Toc19240" </w:instrText>
          </w:r>
          <w:r>
            <w:fldChar w:fldCharType="separate"/>
          </w:r>
          <w:r>
            <w:rPr>
              <w:rFonts w:hint="eastAsia" w:ascii="仿宋" w:hAnsi="仿宋" w:eastAsia="仿宋" w:cs="仿宋"/>
              <w:sz w:val="24"/>
              <w:szCs w:val="24"/>
            </w:rPr>
            <w:t>三、响应文件编写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_Toc19240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"_Toc5993" </w:instrText>
          </w:r>
          <w:r>
            <w:fldChar w:fldCharType="separate"/>
          </w:r>
          <w:r>
            <w:rPr>
              <w:rFonts w:hint="eastAsia" w:ascii="仿宋" w:hAnsi="仿宋" w:eastAsia="仿宋" w:cs="仿宋"/>
              <w:sz w:val="24"/>
              <w:szCs w:val="24"/>
            </w:rPr>
            <w:t>四、响应文件递交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_Toc5993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"_Toc22762" </w:instrText>
          </w:r>
          <w:r>
            <w:fldChar w:fldCharType="separate"/>
          </w:r>
          <w:r>
            <w:rPr>
              <w:rFonts w:hint="eastAsia" w:ascii="仿宋" w:hAnsi="仿宋" w:eastAsia="仿宋" w:cs="仿宋"/>
              <w:sz w:val="24"/>
              <w:szCs w:val="24"/>
            </w:rPr>
            <w:t>五、开启与磋商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_Toc22762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"_Toc24775" </w:instrText>
          </w:r>
          <w:r>
            <w:fldChar w:fldCharType="separate"/>
          </w:r>
          <w:r>
            <w:rPr>
              <w:rFonts w:hint="eastAsia" w:ascii="仿宋" w:hAnsi="仿宋" w:eastAsia="仿宋" w:cs="仿宋"/>
              <w:sz w:val="24"/>
              <w:szCs w:val="24"/>
            </w:rPr>
            <w:t>六、授予合同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_Toc24775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"_Toc26247" </w:instrText>
          </w:r>
          <w:r>
            <w:fldChar w:fldCharType="separate"/>
          </w:r>
          <w:r>
            <w:rPr>
              <w:rFonts w:hint="eastAsia" w:ascii="仿宋" w:hAnsi="仿宋" w:eastAsia="仿宋" w:cs="仿宋"/>
              <w:sz w:val="24"/>
              <w:szCs w:val="24"/>
            </w:rPr>
            <w:t>七、成交服务费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_Toc26247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"_Toc13810" </w:instrText>
          </w:r>
          <w:r>
            <w:fldChar w:fldCharType="separate"/>
          </w:r>
          <w:r>
            <w:rPr>
              <w:rFonts w:hint="eastAsia" w:ascii="仿宋" w:hAnsi="仿宋" w:eastAsia="仿宋" w:cs="仿宋"/>
              <w:sz w:val="24"/>
              <w:szCs w:val="24"/>
            </w:rPr>
            <w:t>八、保密和披露</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_Toc13810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"_Toc15258" </w:instrText>
          </w:r>
          <w:r>
            <w:fldChar w:fldCharType="separate"/>
          </w:r>
          <w:r>
            <w:rPr>
              <w:rFonts w:hint="eastAsia" w:ascii="仿宋" w:hAnsi="仿宋" w:eastAsia="仿宋" w:cs="仿宋"/>
              <w:sz w:val="24"/>
              <w:szCs w:val="24"/>
            </w:rPr>
            <w:t>九、解释权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_Toc15258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"_Toc19734" </w:instrText>
          </w:r>
          <w:r>
            <w:fldChar w:fldCharType="separate"/>
          </w:r>
          <w:r>
            <w:rPr>
              <w:rFonts w:hint="eastAsia" w:ascii="仿宋" w:hAnsi="仿宋" w:eastAsia="仿宋" w:cs="仿宋"/>
              <w:sz w:val="24"/>
              <w:szCs w:val="24"/>
            </w:rPr>
            <w:t xml:space="preserve">第三章 </w:t>
          </w:r>
          <w:r>
            <w:rPr>
              <w:rFonts w:hint="eastAsia" w:ascii="仿宋" w:hAnsi="仿宋" w:eastAsia="仿宋" w:cs="仿宋"/>
              <w:sz w:val="24"/>
              <w:szCs w:val="24"/>
              <w:lang w:val="ja-JP" w:eastAsia="ja-JP"/>
            </w:rPr>
            <w:t>项目说明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_Toc19734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"_Toc30393" </w:instrText>
          </w:r>
          <w:r>
            <w:fldChar w:fldCharType="separate"/>
          </w:r>
          <w:r>
            <w:rPr>
              <w:rFonts w:hint="eastAsia" w:ascii="仿宋" w:hAnsi="仿宋" w:eastAsia="仿宋" w:cs="仿宋"/>
              <w:sz w:val="24"/>
              <w:szCs w:val="24"/>
            </w:rPr>
            <w:t xml:space="preserve">第四部分 </w:t>
          </w:r>
          <w:r>
            <w:rPr>
              <w:rFonts w:hint="eastAsia" w:ascii="仿宋" w:hAnsi="仿宋" w:eastAsia="仿宋" w:cs="仿宋"/>
              <w:sz w:val="24"/>
              <w:szCs w:val="24"/>
              <w:highlight w:val="none"/>
            </w:rPr>
            <w:t>合同格式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_Toc30393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"_Toc20280" </w:instrText>
          </w:r>
          <w:r>
            <w:fldChar w:fldCharType="separate"/>
          </w:r>
          <w:r>
            <w:rPr>
              <w:rFonts w:hint="eastAsia" w:ascii="仿宋" w:hAnsi="仿宋" w:eastAsia="仿宋" w:cs="仿宋"/>
              <w:sz w:val="24"/>
              <w:szCs w:val="24"/>
            </w:rPr>
            <w:t>第五部分 附   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_Toc20280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0"/>
            <w:tabs>
              <w:tab w:val="right" w:leader="dot" w:pos="10206"/>
            </w:tabs>
            <w:spacing w:line="360" w:lineRule="auto"/>
            <w:rPr>
              <w:rFonts w:ascii="仿宋" w:hAnsi="仿宋" w:eastAsia="仿宋" w:cs="仿宋"/>
              <w:sz w:val="24"/>
              <w:szCs w:val="24"/>
            </w:rPr>
          </w:pPr>
          <w:r>
            <w:fldChar w:fldCharType="begin"/>
          </w:r>
          <w:r>
            <w:instrText xml:space="preserve"> HYPERLINK \l "_Toc13941" </w:instrText>
          </w:r>
          <w:r>
            <w:fldChar w:fldCharType="separate"/>
          </w:r>
          <w:r>
            <w:rPr>
              <w:rFonts w:hint="eastAsia" w:ascii="仿宋" w:hAnsi="仿宋" w:eastAsia="仿宋" w:cs="仿宋"/>
              <w:sz w:val="24"/>
              <w:szCs w:val="24"/>
            </w:rPr>
            <w:t>第六部分 评标细则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_Toc13941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7"/>
            <w:spacing w:line="360" w:lineRule="auto"/>
            <w:jc w:val="center"/>
            <w:rPr>
              <w:rFonts w:eastAsia="宋体"/>
              <w:sz w:val="36"/>
              <w:szCs w:val="36"/>
            </w:rPr>
            <w:sectPr>
              <w:footerReference r:id="rId3" w:type="default"/>
              <w:pgSz w:w="11906" w:h="16838"/>
              <w:pgMar w:top="1440" w:right="850" w:bottom="1440" w:left="850" w:header="851" w:footer="992" w:gutter="0"/>
              <w:pgNumType w:fmt="decimal" w:start="1"/>
              <w:cols w:space="425" w:num="1"/>
              <w:docGrid w:type="lines" w:linePitch="312" w:charSpace="0"/>
            </w:sectPr>
          </w:pPr>
          <w:r>
            <w:rPr>
              <w:rFonts w:hint="eastAsia" w:ascii="仿宋" w:hAnsi="仿宋" w:eastAsia="仿宋" w:cs="仿宋"/>
            </w:rPr>
            <w:fldChar w:fldCharType="end"/>
          </w:r>
        </w:p>
      </w:sdtContent>
    </w:sdt>
    <w:p>
      <w:pPr>
        <w:pStyle w:val="3"/>
        <w:numPr>
          <w:ilvl w:val="0"/>
          <w:numId w:val="1"/>
        </w:numPr>
        <w:spacing w:line="240" w:lineRule="auto"/>
        <w:jc w:val="center"/>
        <w:rPr>
          <w:sz w:val="32"/>
          <w:szCs w:val="32"/>
        </w:rPr>
      </w:pPr>
      <w:bookmarkStart w:id="0" w:name="_Toc2619"/>
      <w:r>
        <w:rPr>
          <w:rFonts w:hint="eastAsia"/>
          <w:sz w:val="32"/>
          <w:szCs w:val="32"/>
        </w:rPr>
        <w:t>竞争性磋商公告</w:t>
      </w:r>
      <w:bookmarkEnd w:id="0"/>
    </w:p>
    <w:p>
      <w:pPr>
        <w:pStyle w:val="4"/>
        <w:spacing w:before="0" w:after="0" w:line="500" w:lineRule="exact"/>
        <w:jc w:val="center"/>
        <w:outlineLvl w:val="0"/>
        <w:rPr>
          <w:rFonts w:hint="eastAsia" w:ascii="仿宋" w:hAnsi="仿宋" w:eastAsia="仿宋" w:cs="仿宋"/>
          <w:sz w:val="32"/>
          <w:szCs w:val="32"/>
          <w:lang w:val="en-US" w:eastAsia="zh-CN"/>
        </w:rPr>
      </w:pPr>
      <w:bookmarkStart w:id="1" w:name="_Toc28460"/>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themeColor="text1"/>
          <w:sz w:val="24"/>
          <w:szCs w:val="24"/>
          <w:lang w:val="zh-CN" w:eastAsia="zh-CN"/>
        </w:rPr>
      </w:pPr>
      <w:r>
        <w:rPr>
          <w:rFonts w:hint="eastAsia" w:ascii="仿宋" w:hAnsi="仿宋" w:eastAsia="仿宋" w:cs="仿宋"/>
          <w:color w:val="000000" w:themeColor="text1"/>
          <w:sz w:val="24"/>
          <w:szCs w:val="24"/>
        </w:rPr>
        <w:t>一、</w:t>
      </w:r>
      <w:r>
        <w:rPr>
          <w:rFonts w:hint="eastAsia" w:ascii="仿宋" w:hAnsi="仿宋" w:eastAsia="仿宋" w:cs="仿宋"/>
          <w:color w:val="000000" w:themeColor="text1"/>
          <w:sz w:val="24"/>
          <w:szCs w:val="24"/>
          <w:lang w:val="en-US" w:eastAsia="zh-CN"/>
        </w:rPr>
        <w:t>采购</w:t>
      </w:r>
      <w:r>
        <w:rPr>
          <w:rFonts w:hint="eastAsia" w:ascii="仿宋" w:hAnsi="仿宋" w:eastAsia="仿宋" w:cs="仿宋"/>
          <w:color w:val="000000" w:themeColor="text1"/>
          <w:sz w:val="24"/>
          <w:szCs w:val="24"/>
        </w:rPr>
        <w:t>人：</w:t>
      </w:r>
      <w:r>
        <w:rPr>
          <w:rFonts w:hint="eastAsia" w:ascii="仿宋" w:hAnsi="仿宋" w:eastAsia="仿宋" w:cs="仿宋"/>
          <w:color w:val="000000" w:themeColor="text1"/>
          <w:sz w:val="24"/>
          <w:szCs w:val="24"/>
          <w:lang w:val="en-US" w:eastAsia="zh-CN"/>
        </w:rPr>
        <w:t>中国邮政集团有限公司济南市分公司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left"/>
        <w:textAlignment w:val="auto"/>
        <w:outlineLvl w:val="9"/>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地  址：</w:t>
      </w:r>
      <w:r>
        <w:rPr>
          <w:rFonts w:hint="eastAsia" w:ascii="仿宋" w:hAnsi="仿宋" w:eastAsia="仿宋" w:cs="仿宋"/>
          <w:color w:val="000000"/>
          <w:sz w:val="24"/>
          <w:szCs w:val="24"/>
          <w:lang w:eastAsia="zh-CN"/>
        </w:rPr>
        <w:t>济南市市中区经二路162号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left"/>
        <w:textAlignment w:val="auto"/>
        <w:outlineLvl w:val="9"/>
        <w:rPr>
          <w:rFonts w:hint="eastAsia" w:ascii="仿宋" w:hAnsi="仿宋" w:eastAsia="仿宋" w:cs="仿宋"/>
          <w:color w:val="000000" w:themeColor="text1"/>
          <w:sz w:val="24"/>
          <w:szCs w:val="24"/>
          <w:u w:val="none"/>
          <w:lang w:val="en-US" w:eastAsia="zh-CN"/>
        </w:rPr>
      </w:pPr>
      <w:r>
        <w:rPr>
          <w:rFonts w:hint="eastAsia" w:ascii="仿宋" w:hAnsi="仿宋" w:eastAsia="仿宋" w:cs="仿宋"/>
          <w:color w:val="000000" w:themeColor="text1"/>
          <w:sz w:val="24"/>
          <w:szCs w:val="24"/>
          <w:lang w:val="zh-CN"/>
        </w:rPr>
        <w:t>联系方式：</w:t>
      </w:r>
      <w:r>
        <w:rPr>
          <w:rFonts w:hint="eastAsia" w:ascii="仿宋" w:hAnsi="仿宋" w:eastAsia="仿宋" w:cs="仿宋"/>
          <w:color w:val="000000"/>
          <w:sz w:val="24"/>
          <w:szCs w:val="24"/>
          <w:highlight w:val="none"/>
          <w:lang w:val="en-US" w:eastAsia="zh-CN"/>
        </w:rPr>
        <w:t>高主任</w:t>
      </w:r>
      <w:r>
        <w:rPr>
          <w:rFonts w:hint="eastAsia" w:ascii="仿宋" w:hAnsi="仿宋" w:eastAsia="仿宋" w:cs="仿宋"/>
          <w:color w:val="000000" w:themeColor="text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left"/>
        <w:textAlignment w:val="auto"/>
        <w:outlineLvl w:val="9"/>
        <w:rPr>
          <w:rFonts w:hint="eastAsia" w:ascii="仿宋" w:hAnsi="仿宋" w:eastAsia="仿宋" w:cs="仿宋"/>
          <w:color w:val="000000" w:themeColor="text1"/>
          <w:sz w:val="24"/>
          <w:szCs w:val="24"/>
          <w:lang w:val="zh-CN"/>
        </w:rPr>
      </w:pPr>
      <w:r>
        <w:rPr>
          <w:rFonts w:hint="eastAsia" w:ascii="仿宋" w:hAnsi="仿宋" w:eastAsia="仿宋" w:cs="仿宋"/>
          <w:color w:val="000000" w:themeColor="text1"/>
          <w:sz w:val="24"/>
          <w:szCs w:val="24"/>
          <w:u w:val="none"/>
          <w:lang w:val="en-US" w:eastAsia="zh-CN"/>
        </w:rPr>
        <w:t>联系电话：</w:t>
      </w:r>
      <w:r>
        <w:rPr>
          <w:rFonts w:hint="eastAsia" w:ascii="仿宋" w:hAnsi="仿宋" w:eastAsia="仿宋" w:cs="仿宋"/>
          <w:color w:val="000000"/>
          <w:sz w:val="24"/>
          <w:szCs w:val="24"/>
          <w:highlight w:val="none"/>
          <w:lang w:val="en-US" w:eastAsia="zh-CN"/>
        </w:rPr>
        <w:t>0531-86261055</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themeColor="text1"/>
          <w:sz w:val="24"/>
          <w:szCs w:val="24"/>
          <w:lang w:val="zh-CN"/>
        </w:rPr>
      </w:pPr>
      <w:r>
        <w:rPr>
          <w:rFonts w:hint="eastAsia" w:ascii="仿宋" w:hAnsi="仿宋" w:eastAsia="仿宋" w:cs="仿宋"/>
          <w:color w:val="000000" w:themeColor="text1"/>
          <w:sz w:val="24"/>
          <w:szCs w:val="24"/>
        </w:rPr>
        <w:t>采购代理机构：山东三誉招标代理有限公司</w:t>
      </w:r>
      <w:r>
        <w:rPr>
          <w:rFonts w:hint="eastAsia" w:ascii="仿宋" w:hAnsi="仿宋" w:eastAsia="仿宋" w:cs="仿宋"/>
          <w:color w:val="000000" w:themeColor="text1"/>
          <w:sz w:val="24"/>
          <w:szCs w:val="24"/>
          <w:lang w:val="zh-CN"/>
        </w:rPr>
        <w:t xml:space="preserve">  </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themeColor="text1"/>
          <w:sz w:val="24"/>
          <w:szCs w:val="24"/>
          <w:lang w:val="zh-CN"/>
        </w:rPr>
      </w:pPr>
      <w:r>
        <w:rPr>
          <w:rFonts w:hint="eastAsia" w:ascii="仿宋" w:hAnsi="仿宋" w:eastAsia="仿宋" w:cs="仿宋"/>
          <w:color w:val="000000" w:themeColor="text1"/>
          <w:sz w:val="24"/>
          <w:szCs w:val="24"/>
        </w:rPr>
        <w:t>地  址：济南市二环南路3377号绿地新都会A1-3号写字楼11层1102室</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zh-CN"/>
        </w:rPr>
        <w:t>联系人：贾振</w:t>
      </w:r>
      <w:r>
        <w:rPr>
          <w:rFonts w:hint="eastAsia" w:ascii="仿宋" w:hAnsi="仿宋" w:eastAsia="仿宋" w:cs="仿宋"/>
          <w:color w:val="000000" w:themeColor="text1"/>
          <w:sz w:val="24"/>
          <w:szCs w:val="24"/>
        </w:rPr>
        <w:t xml:space="preserve">    </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themeColor="text1"/>
          <w:sz w:val="24"/>
          <w:szCs w:val="24"/>
          <w:lang w:val="zh-CN"/>
        </w:rPr>
      </w:pPr>
      <w:r>
        <w:rPr>
          <w:rFonts w:hint="eastAsia" w:ascii="仿宋" w:hAnsi="仿宋" w:eastAsia="仿宋" w:cs="仿宋"/>
          <w:color w:val="000000" w:themeColor="text1"/>
          <w:sz w:val="24"/>
          <w:szCs w:val="24"/>
        </w:rPr>
        <w:t>联系电话：0531-58185103</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仿宋" w:hAnsi="仿宋" w:eastAsia="仿宋" w:cs="仿宋"/>
          <w:color w:val="000000" w:themeColor="text1"/>
          <w:sz w:val="24"/>
          <w:szCs w:val="24"/>
          <w:highlight w:val="yellow"/>
          <w:lang w:val="en-US" w:eastAsia="zh-CN"/>
        </w:rPr>
      </w:pPr>
      <w:r>
        <w:rPr>
          <w:rFonts w:hint="eastAsia" w:ascii="仿宋" w:hAnsi="仿宋" w:eastAsia="仿宋" w:cs="仿宋"/>
          <w:color w:val="000000" w:themeColor="text1"/>
          <w:sz w:val="24"/>
          <w:szCs w:val="24"/>
        </w:rPr>
        <w:t>二、项目名称：</w:t>
      </w:r>
      <w:r>
        <w:rPr>
          <w:rFonts w:hint="eastAsia" w:ascii="仿宋" w:hAnsi="仿宋" w:eastAsia="仿宋" w:cs="仿宋"/>
          <w:color w:val="000000" w:themeColor="text1"/>
          <w:sz w:val="24"/>
          <w:szCs w:val="24"/>
          <w:lang w:val="en-US" w:eastAsia="zh-CN"/>
        </w:rPr>
        <w:t>中国邮政集团有限公司济南市分公司中央空调系统维保项目二次</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项目编号</w:t>
      </w:r>
      <w:r>
        <w:rPr>
          <w:rFonts w:hint="eastAsia" w:ascii="仿宋" w:hAnsi="仿宋" w:eastAsia="仿宋" w:cs="仿宋"/>
          <w:color w:val="000000" w:themeColor="text1"/>
          <w:sz w:val="24"/>
          <w:szCs w:val="24"/>
          <w:highlight w:val="none"/>
        </w:rPr>
        <w:t>：YZJNFGS202106-CS001</w:t>
      </w:r>
    </w:p>
    <w:p>
      <w:pPr>
        <w:spacing w:line="360" w:lineRule="auto"/>
        <w:ind w:firstLine="0" w:firstLineChars="0"/>
        <w:jc w:val="left"/>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采购项目分包情况：</w:t>
      </w:r>
      <w:r>
        <w:rPr>
          <w:rFonts w:hint="eastAsia" w:ascii="仿宋" w:hAnsi="仿宋" w:eastAsia="仿宋" w:cs="仿宋"/>
          <w:color w:val="000000"/>
          <w:sz w:val="24"/>
          <w:szCs w:val="24"/>
          <w:lang w:val="en-US" w:eastAsia="zh-CN"/>
        </w:rPr>
        <w:t>本项目不分包；</w:t>
      </w:r>
      <w:r>
        <w:rPr>
          <w:rFonts w:hint="eastAsia" w:ascii="仿宋" w:hAnsi="仿宋" w:eastAsia="仿宋" w:cs="仿宋"/>
          <w:color w:val="000000"/>
          <w:sz w:val="24"/>
          <w:szCs w:val="24"/>
        </w:rPr>
        <w:t xml:space="preserve">     </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7447"/>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92" w:type="pct"/>
            <w:noWrap w:val="0"/>
            <w:vAlign w:val="center"/>
          </w:tcPr>
          <w:p>
            <w:pPr>
              <w:spacing w:line="360" w:lineRule="auto"/>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服务</w:t>
            </w:r>
            <w:r>
              <w:rPr>
                <w:rFonts w:hint="eastAsia" w:ascii="仿宋" w:hAnsi="仿宋" w:eastAsia="仿宋" w:cs="仿宋"/>
                <w:color w:val="000000"/>
                <w:sz w:val="24"/>
                <w:szCs w:val="24"/>
                <w:lang w:eastAsia="zh-CN"/>
              </w:rPr>
              <w:t>名称</w:t>
            </w:r>
          </w:p>
        </w:tc>
        <w:tc>
          <w:tcPr>
            <w:tcW w:w="3575" w:type="pct"/>
            <w:noWrap w:val="0"/>
            <w:vAlign w:val="center"/>
          </w:tcPr>
          <w:p>
            <w:pPr>
              <w:spacing w:line="36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资格要求</w:t>
            </w:r>
          </w:p>
        </w:tc>
        <w:tc>
          <w:tcPr>
            <w:tcW w:w="732" w:type="pct"/>
            <w:noWrap w:val="0"/>
            <w:vAlign w:val="center"/>
          </w:tcPr>
          <w:p>
            <w:pPr>
              <w:spacing w:line="360" w:lineRule="auto"/>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2" w:type="pct"/>
            <w:noWrap w:val="0"/>
            <w:vAlign w:val="center"/>
          </w:tcPr>
          <w:p>
            <w:pPr>
              <w:spacing w:line="360" w:lineRule="auto"/>
              <w:jc w:val="center"/>
              <w:outlineLvl w:val="9"/>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 xml:space="preserve">中央空调系统维保 </w:t>
            </w:r>
          </w:p>
        </w:tc>
        <w:tc>
          <w:tcPr>
            <w:tcW w:w="3575" w:type="pct"/>
            <w:noWrap w:val="0"/>
            <w:vAlign w:val="top"/>
          </w:tcPr>
          <w:p>
            <w:pPr>
              <w:pStyle w:val="2"/>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color w:val="000000"/>
                <w:kern w:val="2"/>
                <w:sz w:val="24"/>
                <w:szCs w:val="24"/>
                <w:lang w:val="en-US" w:eastAsia="zh-CN"/>
              </w:rPr>
              <w:t>1.在中华人民共和国境内（港澳台除外）依法注册的，</w:t>
            </w:r>
            <w:r>
              <w:rPr>
                <w:rFonts w:hint="eastAsia" w:ascii="仿宋" w:hAnsi="仿宋" w:eastAsia="仿宋" w:cs="仿宋"/>
                <w:sz w:val="24"/>
                <w:szCs w:val="24"/>
                <w:lang w:val="en-US" w:eastAsia="zh-CN"/>
              </w:rPr>
              <w:t>具有独立承担民事责任能力的供应商。</w:t>
            </w:r>
          </w:p>
          <w:p>
            <w:pPr>
              <w:pStyle w:val="2"/>
              <w:numPr>
                <w:ilvl w:val="0"/>
                <w:numId w:val="0"/>
              </w:numPr>
              <w:spacing w:line="360" w:lineRule="auto"/>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2.</w:t>
            </w:r>
            <w:r>
              <w:rPr>
                <w:rFonts w:hint="default" w:ascii="仿宋" w:hAnsi="仿宋" w:eastAsia="仿宋" w:cs="仿宋"/>
                <w:color w:val="000000"/>
                <w:kern w:val="2"/>
                <w:sz w:val="24"/>
                <w:szCs w:val="24"/>
                <w:lang w:val="en-US" w:eastAsia="zh-CN"/>
              </w:rPr>
              <w:t>具有空调维修、保养能力和相关资质。</w:t>
            </w:r>
          </w:p>
          <w:p>
            <w:pPr>
              <w:pStyle w:val="2"/>
              <w:numPr>
                <w:ilvl w:val="0"/>
                <w:numId w:val="0"/>
              </w:numPr>
              <w:spacing w:line="360" w:lineRule="auto"/>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3.</w:t>
            </w:r>
            <w:r>
              <w:rPr>
                <w:rFonts w:hint="default" w:ascii="仿宋" w:hAnsi="仿宋" w:eastAsia="仿宋" w:cs="仿宋"/>
                <w:color w:val="000000"/>
                <w:kern w:val="2"/>
                <w:sz w:val="24"/>
                <w:szCs w:val="24"/>
                <w:lang w:val="en-US" w:eastAsia="zh-CN"/>
              </w:rPr>
              <w:t>具有良好的商业信誉和健全的财务会计制度，有依法缴纳税收的良好记录，近三年来在经营活动中没有重大违法记录。</w:t>
            </w:r>
          </w:p>
          <w:p>
            <w:pPr>
              <w:pStyle w:val="2"/>
              <w:numPr>
                <w:ilvl w:val="0"/>
                <w:numId w:val="0"/>
              </w:numPr>
              <w:spacing w:line="360" w:lineRule="auto"/>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4.</w:t>
            </w:r>
            <w:r>
              <w:rPr>
                <w:rFonts w:hint="default" w:ascii="仿宋" w:hAnsi="仿宋" w:eastAsia="仿宋" w:cs="仿宋"/>
                <w:color w:val="000000"/>
                <w:kern w:val="2"/>
                <w:sz w:val="24"/>
                <w:szCs w:val="24"/>
                <w:lang w:val="en-US" w:eastAsia="zh-CN"/>
              </w:rPr>
              <w:t>本项目不接受联合体投标。</w:t>
            </w:r>
          </w:p>
          <w:p>
            <w:pPr>
              <w:pStyle w:val="2"/>
              <w:numPr>
                <w:ilvl w:val="0"/>
                <w:numId w:val="0"/>
              </w:numPr>
              <w:spacing w:line="360" w:lineRule="auto"/>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5.</w:t>
            </w:r>
            <w:r>
              <w:rPr>
                <w:rFonts w:hint="default" w:ascii="仿宋" w:hAnsi="仿宋" w:eastAsia="仿宋" w:cs="仿宋"/>
                <w:color w:val="000000"/>
                <w:kern w:val="2"/>
                <w:sz w:val="24"/>
                <w:szCs w:val="24"/>
                <w:lang w:val="en-US" w:eastAsia="zh-CN"/>
              </w:rPr>
              <w:t>本项目不允许转包、分包。</w:t>
            </w:r>
          </w:p>
        </w:tc>
        <w:tc>
          <w:tcPr>
            <w:tcW w:w="732" w:type="pct"/>
            <w:noWrap w:val="0"/>
            <w:vAlign w:val="center"/>
          </w:tcPr>
          <w:p>
            <w:pPr>
              <w:pStyle w:val="2"/>
              <w:numPr>
                <w:ilvl w:val="0"/>
                <w:numId w:val="0"/>
              </w:numPr>
              <w:spacing w:line="360" w:lineRule="auto"/>
              <w:jc w:val="center"/>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10.6万元/年</w:t>
            </w:r>
          </w:p>
        </w:tc>
      </w:tr>
    </w:tbl>
    <w:p>
      <w:pPr>
        <w:numPr>
          <w:ilvl w:val="0"/>
          <w:numId w:val="0"/>
        </w:numPr>
        <w:spacing w:line="360" w:lineRule="auto"/>
        <w:ind w:firstLine="0" w:firstLineChars="0"/>
        <w:jc w:val="left"/>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四、</w:t>
      </w:r>
      <w:r>
        <w:rPr>
          <w:rFonts w:hint="eastAsia" w:ascii="仿宋" w:hAnsi="仿宋" w:eastAsia="仿宋" w:cs="仿宋"/>
          <w:color w:val="000000"/>
          <w:sz w:val="24"/>
          <w:szCs w:val="24"/>
          <w:lang w:val="en-US" w:eastAsia="zh-CN"/>
        </w:rPr>
        <w:t>竞争性磋商</w:t>
      </w:r>
      <w:r>
        <w:rPr>
          <w:rFonts w:hint="eastAsia" w:ascii="仿宋" w:hAnsi="仿宋" w:eastAsia="仿宋" w:cs="仿宋"/>
          <w:color w:val="000000"/>
          <w:sz w:val="24"/>
          <w:szCs w:val="24"/>
          <w:lang w:eastAsia="zh-CN"/>
        </w:rPr>
        <w:t>文件的获取</w:t>
      </w:r>
    </w:p>
    <w:p>
      <w:pPr>
        <w:numPr>
          <w:ilvl w:val="0"/>
          <w:numId w:val="0"/>
        </w:numPr>
        <w:spacing w:line="360" w:lineRule="auto"/>
        <w:jc w:val="left"/>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1.时间：</w:t>
      </w:r>
      <w:r>
        <w:rPr>
          <w:rFonts w:hint="eastAsia" w:ascii="仿宋" w:hAnsi="仿宋" w:eastAsia="仿宋" w:cs="仿宋"/>
          <w:color w:val="000000"/>
          <w:sz w:val="24"/>
          <w:szCs w:val="24"/>
          <w:lang w:val="en-US" w:eastAsia="zh-CN"/>
        </w:rPr>
        <w:t>2021年6月10</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08</w:t>
      </w:r>
      <w:r>
        <w:rPr>
          <w:rFonts w:hint="eastAsia" w:ascii="仿宋" w:hAnsi="仿宋" w:eastAsia="仿宋" w:cs="仿宋"/>
          <w:color w:val="000000"/>
          <w:sz w:val="24"/>
          <w:szCs w:val="24"/>
        </w:rPr>
        <w:t>时</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分至</w:t>
      </w:r>
      <w:r>
        <w:rPr>
          <w:rFonts w:hint="eastAsia" w:ascii="仿宋" w:hAnsi="仿宋" w:eastAsia="仿宋" w:cs="仿宋"/>
          <w:color w:val="000000"/>
          <w:sz w:val="24"/>
          <w:szCs w:val="24"/>
          <w:lang w:val="en-US" w:eastAsia="zh-CN"/>
        </w:rPr>
        <w:t>2021年6月17</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17</w:t>
      </w:r>
      <w:r>
        <w:rPr>
          <w:rFonts w:hint="eastAsia" w:ascii="仿宋" w:hAnsi="仿宋" w:eastAsia="仿宋" w:cs="仿宋"/>
          <w:color w:val="000000"/>
          <w:sz w:val="24"/>
          <w:szCs w:val="24"/>
        </w:rPr>
        <w:t>时</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rPr>
        <w:t>分（北京时间）</w:t>
      </w:r>
    </w:p>
    <w:p>
      <w:pPr>
        <w:spacing w:line="360" w:lineRule="auto"/>
        <w:ind w:left="0" w:leftChars="0" w:right="0" w:rightChars="0" w:firstLine="0" w:firstLineChars="0"/>
        <w:jc w:val="left"/>
        <w:outlineLvl w:val="9"/>
        <w:rPr>
          <w:rFonts w:hint="eastAsia" w:ascii="仿宋" w:hAnsi="仿宋" w:eastAsia="仿宋" w:cs="仿宋"/>
          <w:color w:val="000000"/>
          <w:sz w:val="24"/>
          <w:szCs w:val="24"/>
          <w:u w:val="none"/>
        </w:rPr>
      </w:pPr>
      <w:r>
        <w:rPr>
          <w:rFonts w:hint="eastAsia" w:ascii="仿宋" w:hAnsi="仿宋" w:eastAsia="仿宋" w:cs="仿宋"/>
          <w:color w:val="000000"/>
          <w:sz w:val="24"/>
          <w:szCs w:val="24"/>
        </w:rPr>
        <w:t>2.地点：</w:t>
      </w:r>
      <w:r>
        <w:rPr>
          <w:rFonts w:hint="eastAsia" w:ascii="仿宋" w:hAnsi="仿宋" w:eastAsia="仿宋" w:cs="仿宋"/>
          <w:color w:val="000000"/>
          <w:sz w:val="24"/>
          <w:szCs w:val="24"/>
          <w:lang w:val="en-US" w:eastAsia="zh-CN"/>
        </w:rPr>
        <w:t>济南市二环南路3377号绿地新都会A1-3号写字楼11层1102室</w:t>
      </w:r>
    </w:p>
    <w:p>
      <w:pPr>
        <w:spacing w:line="360" w:lineRule="auto"/>
        <w:ind w:left="0" w:leftChars="0" w:right="0" w:rightChars="0" w:firstLine="0" w:firstLineChars="0"/>
        <w:jc w:val="both"/>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3.方式：需提供</w:t>
      </w:r>
      <w:r>
        <w:rPr>
          <w:rFonts w:hint="eastAsia" w:ascii="仿宋" w:hAnsi="仿宋" w:eastAsia="仿宋" w:cs="仿宋"/>
          <w:color w:val="000000"/>
          <w:sz w:val="24"/>
          <w:szCs w:val="24"/>
          <w:lang w:eastAsia="zh-CN"/>
        </w:rPr>
        <w:t>合法</w:t>
      </w:r>
      <w:r>
        <w:rPr>
          <w:rFonts w:hint="eastAsia" w:ascii="仿宋" w:hAnsi="仿宋" w:eastAsia="仿宋" w:cs="仿宋"/>
          <w:color w:val="000000"/>
          <w:sz w:val="24"/>
          <w:szCs w:val="24"/>
        </w:rPr>
        <w:t>的企业营业执照副本、法定代表人授权委托书及被授权人身份证或法定代表人身份证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需注明联系人、联系方式、邮箱</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r>
        <w:rPr>
          <w:rFonts w:hint="eastAsia" w:ascii="仿宋" w:hAnsi="仿宋" w:eastAsia="仿宋" w:cs="仿宋"/>
          <w:color w:val="000000"/>
          <w:kern w:val="2"/>
          <w:sz w:val="24"/>
          <w:szCs w:val="24"/>
          <w:highlight w:val="none"/>
          <w:lang w:val="en-US" w:eastAsia="zh-CN"/>
        </w:rPr>
        <w:t>近三年内无重大</w:t>
      </w:r>
      <w:r>
        <w:rPr>
          <w:rFonts w:hint="default" w:ascii="仿宋" w:hAnsi="仿宋" w:eastAsia="仿宋" w:cs="仿宋"/>
          <w:color w:val="000000"/>
          <w:kern w:val="2"/>
          <w:sz w:val="24"/>
          <w:szCs w:val="24"/>
          <w:lang w:val="en-US" w:eastAsia="zh-CN"/>
        </w:rPr>
        <w:t>违法记录</w:t>
      </w:r>
      <w:r>
        <w:rPr>
          <w:rFonts w:hint="eastAsia" w:ascii="仿宋" w:hAnsi="仿宋" w:eastAsia="仿宋" w:cs="仿宋"/>
          <w:color w:val="000000"/>
          <w:kern w:val="2"/>
          <w:sz w:val="24"/>
          <w:szCs w:val="24"/>
          <w:lang w:val="en-US" w:eastAsia="zh-CN"/>
        </w:rPr>
        <w:t>声明（格式自拟）</w:t>
      </w:r>
      <w:r>
        <w:rPr>
          <w:rFonts w:hint="eastAsia" w:ascii="仿宋" w:hAnsi="仿宋" w:eastAsia="仿宋" w:cs="仿宋"/>
          <w:color w:val="000000"/>
          <w:kern w:val="2"/>
          <w:sz w:val="24"/>
          <w:szCs w:val="24"/>
          <w:highlight w:val="none"/>
          <w:lang w:val="en-US" w:eastAsia="zh-CN"/>
        </w:rPr>
        <w:t>、</w:t>
      </w:r>
      <w:r>
        <w:rPr>
          <w:rFonts w:hint="default" w:ascii="仿宋" w:hAnsi="仿宋" w:eastAsia="仿宋" w:cs="仿宋"/>
          <w:color w:val="000000"/>
          <w:kern w:val="2"/>
          <w:sz w:val="24"/>
          <w:szCs w:val="24"/>
          <w:lang w:val="en-US" w:eastAsia="zh-CN"/>
        </w:rPr>
        <w:t>相关资质</w:t>
      </w:r>
      <w:r>
        <w:rPr>
          <w:rFonts w:hint="eastAsia" w:ascii="仿宋" w:hAnsi="仿宋" w:eastAsia="仿宋" w:cs="仿宋"/>
          <w:color w:val="000000"/>
          <w:kern w:val="2"/>
          <w:sz w:val="24"/>
          <w:szCs w:val="24"/>
          <w:lang w:val="en-US" w:eastAsia="zh-CN"/>
        </w:rPr>
        <w:t>证明材料、</w:t>
      </w:r>
      <w:r>
        <w:rPr>
          <w:rFonts w:hint="eastAsia" w:ascii="仿宋" w:hAnsi="仿宋" w:eastAsia="仿宋" w:cs="仿宋"/>
          <w:color w:val="000000"/>
          <w:sz w:val="24"/>
          <w:szCs w:val="24"/>
          <w:lang w:val="en-US" w:eastAsia="zh-CN"/>
        </w:rPr>
        <w:t>标书费汇款凭证</w:t>
      </w:r>
      <w:r>
        <w:rPr>
          <w:rFonts w:hint="eastAsia" w:ascii="仿宋" w:hAnsi="仿宋" w:eastAsia="仿宋" w:cs="仿宋"/>
          <w:color w:val="000000"/>
          <w:sz w:val="24"/>
          <w:szCs w:val="24"/>
        </w:rPr>
        <w:t>，以上有效证件</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原件</w:t>
      </w:r>
      <w:r>
        <w:rPr>
          <w:rFonts w:hint="eastAsia" w:ascii="仿宋" w:hAnsi="仿宋" w:eastAsia="仿宋" w:cs="仿宋"/>
          <w:color w:val="000000"/>
          <w:sz w:val="24"/>
          <w:szCs w:val="24"/>
          <w:lang w:val="en-US" w:eastAsia="zh-CN"/>
        </w:rPr>
        <w:t>扫</w:t>
      </w:r>
      <w:r>
        <w:rPr>
          <w:rFonts w:hint="eastAsia" w:ascii="仿宋" w:hAnsi="仿宋" w:eastAsia="仿宋" w:cs="仿宋"/>
          <w:color w:val="000000"/>
          <w:sz w:val="24"/>
          <w:szCs w:val="24"/>
        </w:rPr>
        <w:t>描</w:t>
      </w:r>
      <w:r>
        <w:rPr>
          <w:rFonts w:hint="eastAsia" w:ascii="仿宋" w:hAnsi="仿宋" w:eastAsia="仿宋" w:cs="仿宋"/>
          <w:color w:val="000000"/>
          <w:sz w:val="24"/>
          <w:szCs w:val="24"/>
          <w:lang w:val="en-US" w:eastAsia="zh-CN"/>
        </w:rPr>
        <w:t>件</w:t>
      </w:r>
      <w:r>
        <w:rPr>
          <w:rFonts w:hint="eastAsia" w:ascii="仿宋" w:hAnsi="仿宋" w:eastAsia="仿宋" w:cs="仿宋"/>
          <w:color w:val="000000"/>
          <w:sz w:val="24"/>
          <w:szCs w:val="24"/>
        </w:rPr>
        <w:t>或复印件加盖公章扫描发至邮箱</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"mailto:syzbgs@vip.163.com"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syzbgs@vip.163.com</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或</w:t>
      </w:r>
      <w:r>
        <w:rPr>
          <w:rFonts w:hint="eastAsia" w:ascii="仿宋" w:hAnsi="仿宋" w:eastAsia="仿宋" w:cs="仿宋"/>
          <w:color w:val="000000"/>
          <w:sz w:val="24"/>
          <w:szCs w:val="24"/>
          <w:lang w:eastAsia="zh-CN"/>
        </w:rPr>
        <w:t>携带</w:t>
      </w:r>
      <w:r>
        <w:rPr>
          <w:rFonts w:hint="eastAsia" w:ascii="仿宋" w:hAnsi="仿宋" w:eastAsia="仿宋" w:cs="仿宋"/>
          <w:color w:val="000000"/>
          <w:sz w:val="24"/>
          <w:szCs w:val="24"/>
        </w:rPr>
        <w:t>至</w:t>
      </w:r>
      <w:r>
        <w:rPr>
          <w:rFonts w:hint="eastAsia" w:ascii="仿宋" w:hAnsi="仿宋" w:eastAsia="仿宋" w:cs="仿宋"/>
          <w:color w:val="000000"/>
          <w:sz w:val="24"/>
          <w:szCs w:val="24"/>
          <w:lang w:val="en-US" w:eastAsia="zh-CN"/>
        </w:rPr>
        <w:t>报名地点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不合格报名</w:t>
      </w:r>
      <w:r>
        <w:rPr>
          <w:rFonts w:hint="eastAsia" w:ascii="仿宋" w:hAnsi="仿宋" w:eastAsia="仿宋" w:cs="仿宋"/>
          <w:color w:val="000000"/>
          <w:sz w:val="24"/>
          <w:szCs w:val="24"/>
          <w:lang w:val="en-US" w:eastAsia="zh-CN"/>
        </w:rPr>
        <w:t>资料</w:t>
      </w:r>
      <w:r>
        <w:rPr>
          <w:rFonts w:hint="eastAsia" w:ascii="仿宋" w:hAnsi="仿宋" w:eastAsia="仿宋" w:cs="仿宋"/>
          <w:color w:val="000000"/>
          <w:sz w:val="24"/>
          <w:szCs w:val="24"/>
        </w:rPr>
        <w:t>不予受理报名</w:t>
      </w:r>
      <w:r>
        <w:rPr>
          <w:rFonts w:hint="eastAsia" w:ascii="仿宋" w:hAnsi="仿宋" w:eastAsia="仿宋" w:cs="仿宋"/>
          <w:color w:val="000000"/>
          <w:sz w:val="24"/>
          <w:szCs w:val="24"/>
          <w:lang w:eastAsia="zh-CN"/>
        </w:rPr>
        <w:t>登记</w:t>
      </w:r>
      <w:r>
        <w:rPr>
          <w:rFonts w:hint="eastAsia" w:ascii="仿宋" w:hAnsi="仿宋" w:eastAsia="仿宋" w:cs="仿宋"/>
          <w:color w:val="000000"/>
          <w:sz w:val="24"/>
          <w:szCs w:val="24"/>
        </w:rPr>
        <w:t>（邮件名称“项目名称简称+</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简称”）。</w:t>
      </w:r>
      <w:r>
        <w:rPr>
          <w:rFonts w:hint="eastAsia" w:ascii="仿宋" w:hAnsi="仿宋" w:eastAsia="仿宋" w:cs="仿宋"/>
          <w:color w:val="000000"/>
          <w:sz w:val="24"/>
          <w:szCs w:val="24"/>
          <w:lang w:val="en-US" w:eastAsia="zh-CN"/>
        </w:rPr>
        <w:t>本项目为资格后审，</w:t>
      </w:r>
      <w:r>
        <w:rPr>
          <w:rFonts w:hint="eastAsia" w:ascii="仿宋" w:hAnsi="仿宋" w:eastAsia="仿宋" w:cs="仿宋"/>
          <w:color w:val="000000"/>
          <w:sz w:val="24"/>
          <w:szCs w:val="24"/>
        </w:rPr>
        <w:t xml:space="preserve">报名时的资料查验不代表资格审查的最终合格或通过。                                                    </w:t>
      </w:r>
    </w:p>
    <w:p>
      <w:pPr>
        <w:numPr>
          <w:ilvl w:val="0"/>
          <w:numId w:val="0"/>
        </w:numPr>
        <w:spacing w:line="360" w:lineRule="auto"/>
        <w:jc w:val="left"/>
        <w:outlineLvl w:val="9"/>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rPr>
        <w:t>4.售价</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u w:val="none"/>
          <w:lang w:val="en-US" w:eastAsia="zh-CN"/>
        </w:rPr>
        <w:t>150元/份，磋商文件售后不退。</w:t>
      </w:r>
    </w:p>
    <w:p>
      <w:pPr>
        <w:numPr>
          <w:ilvl w:val="0"/>
          <w:numId w:val="0"/>
        </w:numPr>
        <w:spacing w:line="360" w:lineRule="auto"/>
        <w:jc w:val="left"/>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标书费及保证金汇款账户如下：</w:t>
      </w:r>
    </w:p>
    <w:p>
      <w:pPr>
        <w:spacing w:line="360" w:lineRule="auto"/>
        <w:ind w:firstLine="0" w:firstLineChars="0"/>
        <w:jc w:val="left"/>
        <w:outlineLvl w:val="9"/>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开户</w:t>
      </w:r>
      <w:r>
        <w:rPr>
          <w:rFonts w:hint="eastAsia" w:ascii="仿宋" w:hAnsi="仿宋" w:eastAsia="仿宋" w:cs="仿宋"/>
          <w:color w:val="000000"/>
          <w:sz w:val="24"/>
          <w:szCs w:val="24"/>
          <w:lang w:val="zh-CN" w:eastAsia="zh-CN"/>
        </w:rPr>
        <w:t>名称：山东三誉招标代理有限公司</w:t>
      </w:r>
    </w:p>
    <w:p>
      <w:pPr>
        <w:spacing w:line="360" w:lineRule="auto"/>
        <w:ind w:firstLine="0" w:firstLineChars="0"/>
        <w:jc w:val="left"/>
        <w:outlineLvl w:val="9"/>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开户银行：中国民生银行济南玉函路支行</w:t>
      </w:r>
    </w:p>
    <w:p>
      <w:pPr>
        <w:spacing w:line="360" w:lineRule="auto"/>
        <w:ind w:firstLine="0" w:firstLineChars="0"/>
        <w:jc w:val="left"/>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账号：697833452</w:t>
      </w:r>
      <w:r>
        <w:rPr>
          <w:rFonts w:hint="eastAsia" w:ascii="仿宋" w:hAnsi="仿宋" w:eastAsia="仿宋" w:cs="仿宋"/>
          <w:color w:val="000000"/>
          <w:sz w:val="24"/>
          <w:szCs w:val="24"/>
        </w:rPr>
        <w:t xml:space="preserve">                                                       </w:t>
      </w:r>
    </w:p>
    <w:p>
      <w:pPr>
        <w:spacing w:line="360" w:lineRule="auto"/>
        <w:jc w:val="left"/>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五、</w:t>
      </w:r>
      <w:r>
        <w:rPr>
          <w:rFonts w:hint="eastAsia" w:ascii="仿宋" w:hAnsi="仿宋" w:eastAsia="仿宋" w:cs="仿宋"/>
          <w:color w:val="000000"/>
          <w:sz w:val="24"/>
          <w:szCs w:val="24"/>
          <w:lang w:eastAsia="zh-CN"/>
        </w:rPr>
        <w:t>递交</w:t>
      </w:r>
      <w:r>
        <w:rPr>
          <w:rFonts w:hint="eastAsia" w:ascii="仿宋" w:hAnsi="仿宋" w:eastAsia="仿宋" w:cs="仿宋"/>
          <w:color w:val="000000"/>
          <w:sz w:val="24"/>
          <w:szCs w:val="24"/>
          <w:lang w:val="en-US" w:eastAsia="zh-CN"/>
        </w:rPr>
        <w:t>报价</w:t>
      </w:r>
      <w:r>
        <w:rPr>
          <w:rFonts w:hint="eastAsia" w:ascii="仿宋" w:hAnsi="仿宋" w:eastAsia="仿宋" w:cs="仿宋"/>
          <w:color w:val="000000"/>
          <w:sz w:val="24"/>
          <w:szCs w:val="24"/>
          <w:lang w:val="zh-CN"/>
        </w:rPr>
        <w:t>文件时间及地点</w:t>
      </w:r>
    </w:p>
    <w:p>
      <w:pPr>
        <w:spacing w:line="360" w:lineRule="auto"/>
        <w:ind w:firstLine="0" w:firstLineChars="0"/>
        <w:jc w:val="left"/>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1.递交</w:t>
      </w:r>
      <w:r>
        <w:rPr>
          <w:rFonts w:hint="eastAsia" w:ascii="仿宋" w:hAnsi="仿宋" w:eastAsia="仿宋" w:cs="仿宋"/>
          <w:color w:val="000000"/>
          <w:sz w:val="24"/>
          <w:szCs w:val="24"/>
          <w:lang w:val="zh-CN"/>
        </w:rPr>
        <w:t>时间：</w:t>
      </w:r>
      <w:r>
        <w:rPr>
          <w:rFonts w:hint="eastAsia" w:ascii="仿宋" w:hAnsi="仿宋" w:eastAsia="仿宋" w:cs="仿宋"/>
          <w:color w:val="000000"/>
          <w:sz w:val="24"/>
          <w:szCs w:val="24"/>
          <w:lang w:val="en-US" w:eastAsia="zh-CN"/>
        </w:rPr>
        <w:t>2021年6月23</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09时00分至2021年6月23</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09</w:t>
      </w:r>
      <w:r>
        <w:rPr>
          <w:rFonts w:hint="eastAsia" w:ascii="仿宋" w:hAnsi="仿宋" w:eastAsia="仿宋" w:cs="仿宋"/>
          <w:color w:val="000000"/>
          <w:sz w:val="24"/>
          <w:szCs w:val="24"/>
        </w:rPr>
        <w:t>时</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分（北京时间）</w:t>
      </w:r>
    </w:p>
    <w:p>
      <w:pPr>
        <w:spacing w:line="360" w:lineRule="auto"/>
        <w:ind w:firstLine="0" w:firstLineChars="0"/>
        <w:jc w:val="left"/>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rPr>
        <w:t>2.地点：</w:t>
      </w:r>
      <w:r>
        <w:rPr>
          <w:rFonts w:hint="eastAsia" w:ascii="仿宋" w:hAnsi="仿宋" w:eastAsia="仿宋" w:cs="仿宋"/>
          <w:color w:val="000000"/>
          <w:sz w:val="24"/>
          <w:szCs w:val="24"/>
          <w:lang w:val="en-US" w:eastAsia="zh-CN"/>
        </w:rPr>
        <w:t>济南市二环南路3377号绿地新都会A1-3号写字楼11层1118室。</w:t>
      </w:r>
      <w:r>
        <w:rPr>
          <w:rFonts w:hint="eastAsia" w:ascii="仿宋" w:hAnsi="仿宋" w:eastAsia="仿宋" w:cs="仿宋"/>
          <w:color w:val="000000"/>
          <w:sz w:val="24"/>
          <w:szCs w:val="24"/>
          <w:lang w:val="zh-CN"/>
        </w:rPr>
        <w:t xml:space="preserve"> </w:t>
      </w:r>
    </w:p>
    <w:p>
      <w:pPr>
        <w:spacing w:line="360" w:lineRule="auto"/>
        <w:jc w:val="left"/>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六、</w:t>
      </w:r>
      <w:r>
        <w:rPr>
          <w:rFonts w:hint="eastAsia" w:ascii="仿宋" w:hAnsi="仿宋" w:eastAsia="仿宋" w:cs="仿宋"/>
          <w:color w:val="000000"/>
          <w:sz w:val="24"/>
          <w:szCs w:val="24"/>
          <w:lang w:val="en-US" w:eastAsia="zh-CN"/>
        </w:rPr>
        <w:t>磋商</w:t>
      </w:r>
      <w:r>
        <w:rPr>
          <w:rFonts w:hint="eastAsia" w:ascii="仿宋" w:hAnsi="仿宋" w:eastAsia="仿宋" w:cs="仿宋"/>
          <w:color w:val="000000"/>
          <w:sz w:val="24"/>
          <w:szCs w:val="24"/>
        </w:rPr>
        <w:t>时间及地点</w:t>
      </w:r>
      <w:r>
        <w:rPr>
          <w:rFonts w:hint="eastAsia" w:ascii="仿宋" w:hAnsi="仿宋" w:eastAsia="仿宋" w:cs="仿宋"/>
          <w:color w:val="000000"/>
          <w:sz w:val="24"/>
          <w:szCs w:val="24"/>
          <w:lang w:val="zh-CN"/>
        </w:rPr>
        <w:t xml:space="preserve">  </w:t>
      </w:r>
    </w:p>
    <w:p>
      <w:pPr>
        <w:spacing w:line="360" w:lineRule="auto"/>
        <w:ind w:firstLine="0" w:firstLineChars="0"/>
        <w:jc w:val="left"/>
        <w:outlineLvl w:val="9"/>
        <w:rPr>
          <w:rFonts w:hint="eastAsia" w:ascii="仿宋" w:hAnsi="仿宋" w:eastAsia="仿宋" w:cs="仿宋"/>
          <w:color w:val="0000FF"/>
          <w:sz w:val="24"/>
          <w:szCs w:val="24"/>
          <w:lang w:val="zh-CN"/>
        </w:rPr>
      </w:pPr>
      <w:r>
        <w:rPr>
          <w:rFonts w:hint="eastAsia" w:ascii="仿宋" w:hAnsi="仿宋" w:eastAsia="仿宋" w:cs="仿宋"/>
          <w:color w:val="0000FF"/>
          <w:sz w:val="24"/>
          <w:szCs w:val="24"/>
          <w:lang w:val="zh-CN"/>
        </w:rPr>
        <w:t xml:space="preserve"> 1.时间：</w:t>
      </w:r>
      <w:r>
        <w:rPr>
          <w:rFonts w:hint="eastAsia" w:ascii="仿宋" w:hAnsi="仿宋" w:eastAsia="仿宋" w:cs="仿宋"/>
          <w:color w:val="0000FF"/>
          <w:sz w:val="24"/>
          <w:szCs w:val="24"/>
          <w:lang w:val="en-US" w:eastAsia="zh-CN"/>
        </w:rPr>
        <w:t>2021年6月23</w:t>
      </w:r>
      <w:r>
        <w:rPr>
          <w:rFonts w:hint="eastAsia" w:ascii="仿宋" w:hAnsi="仿宋" w:eastAsia="仿宋" w:cs="仿宋"/>
          <w:color w:val="0000FF"/>
          <w:sz w:val="24"/>
          <w:szCs w:val="24"/>
        </w:rPr>
        <w:t>日</w:t>
      </w:r>
      <w:r>
        <w:rPr>
          <w:rFonts w:hint="eastAsia" w:ascii="仿宋" w:hAnsi="仿宋" w:eastAsia="仿宋" w:cs="仿宋"/>
          <w:color w:val="0000FF"/>
          <w:sz w:val="24"/>
          <w:szCs w:val="24"/>
          <w:lang w:val="en-US" w:eastAsia="zh-CN"/>
        </w:rPr>
        <w:t>09</w:t>
      </w:r>
      <w:r>
        <w:rPr>
          <w:rFonts w:hint="eastAsia" w:ascii="仿宋" w:hAnsi="仿宋" w:eastAsia="仿宋" w:cs="仿宋"/>
          <w:color w:val="0000FF"/>
          <w:sz w:val="24"/>
          <w:szCs w:val="24"/>
          <w:lang w:val="zh-CN"/>
        </w:rPr>
        <w:t>时</w:t>
      </w:r>
      <w:r>
        <w:rPr>
          <w:rFonts w:hint="eastAsia" w:ascii="仿宋" w:hAnsi="仿宋" w:eastAsia="仿宋" w:cs="仿宋"/>
          <w:color w:val="0000FF"/>
          <w:sz w:val="24"/>
          <w:szCs w:val="24"/>
          <w:lang w:val="en-US" w:eastAsia="zh-CN"/>
        </w:rPr>
        <w:t>30</w:t>
      </w:r>
      <w:r>
        <w:rPr>
          <w:rFonts w:hint="eastAsia" w:ascii="仿宋" w:hAnsi="仿宋" w:eastAsia="仿宋" w:cs="仿宋"/>
          <w:color w:val="0000FF"/>
          <w:sz w:val="24"/>
          <w:szCs w:val="24"/>
          <w:lang w:val="zh-CN"/>
        </w:rPr>
        <w:t xml:space="preserve">分（北京时间）  </w:t>
      </w:r>
    </w:p>
    <w:p>
      <w:pPr>
        <w:spacing w:line="360" w:lineRule="auto"/>
        <w:ind w:firstLine="0" w:firstLineChars="0"/>
        <w:jc w:val="left"/>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2.地点：</w:t>
      </w:r>
      <w:r>
        <w:rPr>
          <w:rFonts w:hint="eastAsia" w:ascii="仿宋" w:hAnsi="仿宋" w:eastAsia="仿宋" w:cs="仿宋"/>
          <w:color w:val="000000"/>
          <w:sz w:val="24"/>
          <w:szCs w:val="24"/>
          <w:lang w:val="en-US" w:eastAsia="zh-CN"/>
        </w:rPr>
        <w:t>济南市二环南路3377号绿地新都会A1-3号写字楼11层1118室。</w:t>
      </w:r>
      <w:r>
        <w:rPr>
          <w:rFonts w:hint="eastAsia" w:ascii="仿宋" w:hAnsi="仿宋" w:eastAsia="仿宋" w:cs="仿宋"/>
          <w:color w:val="000000"/>
          <w:sz w:val="24"/>
          <w:szCs w:val="24"/>
          <w:lang w:val="zh-CN"/>
        </w:rPr>
        <w:t xml:space="preserve">                                                                                </w:t>
      </w:r>
      <w:r>
        <w:rPr>
          <w:rFonts w:hint="eastAsia" w:ascii="仿宋" w:hAnsi="仿宋" w:eastAsia="仿宋" w:cs="仿宋"/>
          <w:color w:val="000000"/>
          <w:sz w:val="24"/>
          <w:szCs w:val="24"/>
          <w:u w:val="none"/>
          <w:shd w:val="clear" w:color="auto" w:fill="auto"/>
          <w:lang w:val="en-US" w:eastAsia="zh-CN"/>
        </w:rPr>
        <w:t xml:space="preserve"> </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lang w:val="zh-CN"/>
        </w:rPr>
        <w:t xml:space="preserve">                   </w:t>
      </w:r>
    </w:p>
    <w:p>
      <w:pPr>
        <w:numPr>
          <w:ilvl w:val="0"/>
          <w:numId w:val="0"/>
        </w:numPr>
        <w:spacing w:line="360" w:lineRule="auto"/>
        <w:ind w:left="0" w:leftChars="0" w:firstLine="0" w:firstLineChars="0"/>
        <w:jc w:val="left"/>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七、发布公告的媒介</w:t>
      </w:r>
    </w:p>
    <w:p>
      <w:pPr>
        <w:numPr>
          <w:ilvl w:val="0"/>
          <w:numId w:val="0"/>
        </w:numPr>
        <w:spacing w:line="360" w:lineRule="auto"/>
        <w:ind w:left="0" w:leftChars="0" w:firstLine="0" w:firstLineChars="0"/>
        <w:jc w:val="both"/>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中国</w:t>
      </w:r>
      <w:r>
        <w:rPr>
          <w:rFonts w:hint="eastAsia" w:ascii="仿宋" w:hAnsi="仿宋" w:eastAsia="仿宋" w:cs="仿宋"/>
          <w:color w:val="000000"/>
          <w:sz w:val="24"/>
          <w:szCs w:val="24"/>
          <w:lang w:eastAsia="zh-CN"/>
        </w:rPr>
        <w:t>采购与招标网（http://www.chinabidding.com.cn）、山东</w:t>
      </w:r>
      <w:r>
        <w:rPr>
          <w:rFonts w:hint="eastAsia" w:ascii="仿宋" w:hAnsi="仿宋" w:eastAsia="仿宋" w:cs="仿宋"/>
          <w:color w:val="000000"/>
          <w:sz w:val="24"/>
          <w:szCs w:val="24"/>
          <w:lang w:val="en-US" w:eastAsia="zh-CN"/>
        </w:rPr>
        <w:t>省</w:t>
      </w:r>
      <w:r>
        <w:rPr>
          <w:rFonts w:hint="eastAsia" w:ascii="仿宋" w:hAnsi="仿宋" w:eastAsia="仿宋" w:cs="仿宋"/>
          <w:color w:val="000000"/>
          <w:sz w:val="24"/>
          <w:szCs w:val="24"/>
          <w:lang w:eastAsia="zh-CN"/>
        </w:rPr>
        <w:t>采购与招标网（http://www.sdbidding.org.cn）、中国邮政集团有限公司官网（http://www.chinapost.com.cn）、三誉招标网（http://www.syzbgs.com/）</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 xml:space="preserve">               </w:t>
      </w:r>
      <w:r>
        <w:rPr>
          <w:rFonts w:hint="eastAsia" w:ascii="仿宋" w:hAnsi="仿宋" w:eastAsia="仿宋" w:cs="仿宋"/>
          <w:color w:val="000000"/>
          <w:sz w:val="24"/>
          <w:szCs w:val="24"/>
        </w:rPr>
        <w:t xml:space="preserve">    </w:t>
      </w:r>
    </w:p>
    <w:p>
      <w:pPr>
        <w:pStyle w:val="2"/>
        <w:numPr>
          <w:ilvl w:val="0"/>
          <w:numId w:val="0"/>
        </w:numPr>
        <w:ind w:leftChars="0"/>
        <w:rPr>
          <w:rFonts w:hint="eastAsia" w:ascii="仿宋" w:hAnsi="仿宋" w:eastAsia="仿宋" w:cs="仿宋"/>
          <w:color w:val="000000"/>
          <w:lang w:val="zh-CN"/>
        </w:rPr>
      </w:pPr>
    </w:p>
    <w:p>
      <w:pPr>
        <w:pStyle w:val="2"/>
        <w:numPr>
          <w:ilvl w:val="0"/>
          <w:numId w:val="0"/>
        </w:numPr>
        <w:ind w:leftChars="0"/>
        <w:rPr>
          <w:rFonts w:hint="eastAsia" w:ascii="仿宋" w:hAnsi="仿宋" w:eastAsia="仿宋" w:cs="仿宋"/>
          <w:color w:val="000000"/>
          <w:lang w:val="zh-CN"/>
        </w:rPr>
      </w:pPr>
    </w:p>
    <w:p>
      <w:pPr>
        <w:spacing w:line="360" w:lineRule="auto"/>
        <w:ind w:firstLine="0" w:firstLineChars="0"/>
        <w:jc w:val="right"/>
        <w:outlineLvl w:val="9"/>
        <w:rPr>
          <w:rFonts w:hint="eastAsia" w:ascii="仿宋" w:hAnsi="仿宋" w:eastAsia="仿宋" w:cs="仿宋"/>
          <w:color w:val="000000"/>
          <w:sz w:val="24"/>
          <w:szCs w:val="24"/>
          <w:u w:val="none"/>
          <w:lang w:val="zh-CN"/>
        </w:rPr>
      </w:pPr>
      <w:r>
        <w:rPr>
          <w:rFonts w:hint="eastAsia" w:ascii="仿宋" w:hAnsi="仿宋" w:eastAsia="仿宋" w:cs="仿宋"/>
          <w:color w:val="000000"/>
          <w:sz w:val="24"/>
          <w:szCs w:val="24"/>
          <w:lang w:val="zh-CN"/>
        </w:rPr>
        <w:t>发 布 人：</w:t>
      </w:r>
      <w:r>
        <w:rPr>
          <w:rFonts w:hint="eastAsia" w:ascii="仿宋" w:hAnsi="仿宋" w:eastAsia="仿宋" w:cs="仿宋"/>
          <w:color w:val="000000"/>
          <w:sz w:val="24"/>
          <w:szCs w:val="24"/>
          <w:u w:val="none"/>
          <w:lang w:val="zh-CN"/>
        </w:rPr>
        <w:t>山东三誉招标代理有限公司</w:t>
      </w:r>
    </w:p>
    <w:p>
      <w:pPr>
        <w:spacing w:line="36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lang w:val="zh-CN"/>
        </w:rPr>
        <w:t>发布时间：</w:t>
      </w:r>
      <w:r>
        <w:rPr>
          <w:rFonts w:hint="eastAsia" w:ascii="仿宋" w:hAnsi="仿宋" w:eastAsia="仿宋" w:cs="仿宋"/>
          <w:color w:val="000000"/>
          <w:sz w:val="24"/>
          <w:szCs w:val="24"/>
          <w:lang w:val="en-US" w:eastAsia="zh-CN"/>
        </w:rPr>
        <w:t>2021年6月9</w:t>
      </w:r>
      <w:r>
        <w:rPr>
          <w:rFonts w:hint="eastAsia" w:ascii="仿宋" w:hAnsi="仿宋" w:eastAsia="仿宋" w:cs="仿宋"/>
          <w:color w:val="000000"/>
          <w:sz w:val="24"/>
          <w:szCs w:val="24"/>
        </w:rPr>
        <w:t>日</w:t>
      </w:r>
      <w:r>
        <w:rPr>
          <w:rFonts w:hint="eastAsia" w:ascii="仿宋" w:hAnsi="仿宋" w:eastAsia="仿宋" w:cs="仿宋"/>
          <w:color w:val="000000"/>
          <w:sz w:val="24"/>
          <w:szCs w:val="24"/>
        </w:rPr>
        <w:br w:type="page"/>
      </w:r>
    </w:p>
    <w:p>
      <w:pPr>
        <w:pStyle w:val="27"/>
        <w:spacing w:after="0" w:line="480" w:lineRule="exact"/>
        <w:jc w:val="right"/>
        <w:rPr>
          <w:rFonts w:hint="eastAsia" w:ascii="仿宋" w:hAnsi="仿宋" w:eastAsia="仿宋" w:cs="仿宋"/>
          <w:color w:val="auto"/>
          <w:spacing w:val="0"/>
          <w:lang w:eastAsia="zh-CN" w:bidi="ja-JP"/>
        </w:rPr>
      </w:pPr>
    </w:p>
    <w:p>
      <w:pPr>
        <w:pStyle w:val="3"/>
        <w:numPr>
          <w:ilvl w:val="0"/>
          <w:numId w:val="1"/>
        </w:numPr>
        <w:spacing w:line="480" w:lineRule="auto"/>
        <w:jc w:val="center"/>
        <w:rPr>
          <w:sz w:val="32"/>
          <w:szCs w:val="32"/>
        </w:rPr>
      </w:pPr>
      <w:r>
        <w:rPr>
          <w:rFonts w:hint="eastAsia"/>
          <w:sz w:val="32"/>
          <w:szCs w:val="32"/>
        </w:rPr>
        <w:t>供应商须知</w:t>
      </w:r>
      <w:bookmarkEnd w:id="1"/>
    </w:p>
    <w:p>
      <w:pPr>
        <w:jc w:val="center"/>
        <w:rPr>
          <w:b/>
          <w:kern w:val="44"/>
          <w:sz w:val="32"/>
          <w:szCs w:val="32"/>
        </w:rPr>
      </w:pPr>
      <w:r>
        <w:rPr>
          <w:rFonts w:hint="eastAsia"/>
          <w:b/>
          <w:kern w:val="44"/>
          <w:sz w:val="32"/>
          <w:szCs w:val="32"/>
        </w:rPr>
        <w:t>前 附 表</w:t>
      </w:r>
    </w:p>
    <w:tbl>
      <w:tblPr>
        <w:tblStyle w:val="22"/>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widowControl/>
              <w:spacing w:line="480" w:lineRule="exact"/>
              <w:jc w:val="center"/>
              <w:rPr>
                <w:sz w:val="24"/>
                <w:szCs w:val="24"/>
              </w:rPr>
            </w:pPr>
            <w:r>
              <w:rPr>
                <w:rFonts w:hint="eastAsia"/>
                <w:color w:val="000000"/>
                <w:sz w:val="24"/>
                <w:szCs w:val="24"/>
                <w:lang w:val="en-US" w:eastAsia="zh-CN"/>
              </w:rPr>
              <w:t>项目</w:t>
            </w:r>
          </w:p>
        </w:tc>
        <w:tc>
          <w:tcPr>
            <w:tcW w:w="9200" w:type="dxa"/>
          </w:tcPr>
          <w:p>
            <w:pPr>
              <w:pStyle w:val="27"/>
              <w:widowControl/>
              <w:spacing w:after="0" w:line="480" w:lineRule="exact"/>
              <w:jc w:val="center"/>
              <w:rPr>
                <w:rFonts w:ascii="仿宋" w:hAnsi="仿宋" w:eastAsia="仿宋" w:cs="仿宋"/>
                <w:lang w:val="ja-JP" w:eastAsia="ja-JP"/>
              </w:rPr>
            </w:pPr>
            <w:r>
              <w:rPr>
                <w:rFonts w:hint="eastAsia" w:ascii="仿宋" w:hAnsi="仿宋" w:eastAsia="仿宋" w:cs="仿宋"/>
                <w:lang w:val="ja-JP" w:eastAsia="ja-JP"/>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pStyle w:val="27"/>
              <w:widowControl/>
              <w:spacing w:after="0" w:line="480" w:lineRule="exact"/>
              <w:jc w:val="center"/>
              <w:rPr>
                <w:rFonts w:ascii="仿宋" w:hAnsi="仿宋" w:eastAsia="仿宋" w:cs="仿宋"/>
              </w:rPr>
            </w:pPr>
            <w:r>
              <w:rPr>
                <w:rFonts w:hint="eastAsia" w:ascii="仿宋" w:hAnsi="仿宋" w:eastAsia="仿宋" w:cs="仿宋"/>
              </w:rPr>
              <w:t>1</w:t>
            </w:r>
          </w:p>
        </w:tc>
        <w:tc>
          <w:tcPr>
            <w:tcW w:w="9200" w:type="dxa"/>
          </w:tcPr>
          <w:p>
            <w:pPr>
              <w:pStyle w:val="27"/>
              <w:widowControl/>
              <w:spacing w:after="0" w:line="480" w:lineRule="exact"/>
              <w:rPr>
                <w:rFonts w:hint="eastAsia" w:ascii="仿宋" w:hAnsi="仿宋" w:eastAsia="仿宋" w:cs="仿宋"/>
                <w:lang w:val="ja-JP" w:eastAsia="zh-CN"/>
              </w:rPr>
            </w:pPr>
            <w:r>
              <w:rPr>
                <w:rFonts w:hint="eastAsia" w:ascii="仿宋" w:hAnsi="仿宋" w:eastAsia="仿宋" w:cs="仿宋"/>
                <w:lang w:val="ja-JP" w:eastAsia="ja-JP"/>
              </w:rPr>
              <w:t>采购人名称：</w:t>
            </w:r>
            <w:r>
              <w:rPr>
                <w:rFonts w:hint="eastAsia" w:ascii="仿宋" w:hAnsi="仿宋" w:eastAsia="仿宋" w:cs="仿宋"/>
                <w:lang w:val="ja-JP" w:eastAsia="zh-CN"/>
              </w:rPr>
              <w:t>中国邮政集团有限公司济南市分公司</w:t>
            </w:r>
          </w:p>
          <w:p>
            <w:pPr>
              <w:pStyle w:val="27"/>
              <w:widowControl/>
              <w:spacing w:after="0" w:line="480" w:lineRule="exact"/>
              <w:rPr>
                <w:rFonts w:ascii="仿宋" w:hAnsi="仿宋" w:eastAsia="仿宋" w:cs="仿宋"/>
                <w:lang w:val="ja-JP" w:eastAsia="ja-JP"/>
              </w:rPr>
            </w:pPr>
            <w:r>
              <w:rPr>
                <w:rFonts w:hint="eastAsia" w:ascii="仿宋" w:hAnsi="仿宋" w:eastAsia="仿宋" w:cs="仿宋"/>
                <w:lang w:val="ja-JP" w:eastAsia="ja-JP"/>
              </w:rPr>
              <w:t>采购代理机构名称：山东</w:t>
            </w:r>
            <w:r>
              <w:rPr>
                <w:rFonts w:hint="eastAsia" w:ascii="仿宋" w:hAnsi="仿宋" w:eastAsia="仿宋" w:cs="仿宋"/>
              </w:rPr>
              <w:t>三誉招标代理</w:t>
            </w:r>
            <w:r>
              <w:rPr>
                <w:rFonts w:hint="eastAsia" w:ascii="仿宋" w:hAnsi="仿宋" w:eastAsia="仿宋" w:cs="仿宋"/>
                <w:lang w:val="ja-JP" w:eastAsia="ja-JP"/>
              </w:rPr>
              <w:t xml:space="preserve">有限公司 </w:t>
            </w:r>
          </w:p>
          <w:p>
            <w:pPr>
              <w:pStyle w:val="27"/>
              <w:widowControl/>
              <w:spacing w:after="0" w:line="480" w:lineRule="exact"/>
              <w:rPr>
                <w:rFonts w:ascii="仿宋" w:hAnsi="仿宋" w:eastAsia="仿宋" w:cs="仿宋"/>
                <w:lang w:val="ja-JP" w:eastAsia="ja-JP"/>
              </w:rPr>
            </w:pPr>
            <w:r>
              <w:rPr>
                <w:rFonts w:hint="eastAsia" w:ascii="仿宋" w:hAnsi="仿宋" w:eastAsia="仿宋" w:cs="仿宋"/>
                <w:lang w:val="ja-JP" w:eastAsia="ja-JP"/>
              </w:rPr>
              <w:t>采购范围及要求：本项目为</w:t>
            </w:r>
            <w:r>
              <w:rPr>
                <w:rFonts w:hint="eastAsia" w:ascii="仿宋" w:hAnsi="仿宋" w:eastAsia="仿宋" w:cs="仿宋"/>
                <w:lang w:val="ja-JP" w:eastAsia="zh-CN"/>
              </w:rPr>
              <w:t>中国邮政集团有限公司济南市分公司中央空调系统维保项目二次</w:t>
            </w:r>
            <w:r>
              <w:rPr>
                <w:rFonts w:hint="eastAsia" w:ascii="仿宋" w:hAnsi="仿宋" w:eastAsia="仿宋" w:cs="仿宋"/>
                <w:lang w:val="ja-JP" w:eastAsia="ja-JP"/>
              </w:rPr>
              <w:t>。</w:t>
            </w:r>
          </w:p>
          <w:p>
            <w:pPr>
              <w:pStyle w:val="27"/>
              <w:widowControl/>
              <w:spacing w:after="0" w:line="480" w:lineRule="exact"/>
              <w:rPr>
                <w:rFonts w:ascii="仿宋" w:hAnsi="仿宋" w:eastAsia="仿宋" w:cs="仿宋"/>
                <w:lang w:val="ja-JP" w:eastAsia="ja-JP"/>
              </w:rPr>
            </w:pPr>
            <w:r>
              <w:rPr>
                <w:rFonts w:hint="eastAsia" w:ascii="仿宋" w:hAnsi="仿宋" w:eastAsia="仿宋" w:cs="仿宋"/>
                <w:lang w:val="ja-JP" w:eastAsia="ja-JP"/>
              </w:rPr>
              <w:t>具</w:t>
            </w:r>
            <w:r>
              <w:rPr>
                <w:rFonts w:hint="eastAsia" w:ascii="仿宋" w:hAnsi="仿宋" w:eastAsia="仿宋" w:cs="仿宋"/>
                <w:lang w:val="ja-JP" w:eastAsia="zh-CN"/>
              </w:rPr>
              <w:t>体</w:t>
            </w:r>
            <w:r>
              <w:rPr>
                <w:rFonts w:hint="eastAsia" w:ascii="仿宋" w:hAnsi="仿宋" w:eastAsia="仿宋" w:cs="仿宋"/>
                <w:lang w:val="ja-JP" w:eastAsia="ja-JP"/>
              </w:rPr>
              <w:t>要求详见本采购文件第三章“项目说明”。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pStyle w:val="27"/>
              <w:widowControl/>
              <w:spacing w:after="0" w:line="480" w:lineRule="exact"/>
              <w:jc w:val="center"/>
              <w:rPr>
                <w:rFonts w:ascii="仿宋" w:hAnsi="仿宋" w:eastAsia="仿宋" w:cs="仿宋"/>
              </w:rPr>
            </w:pPr>
            <w:r>
              <w:rPr>
                <w:rFonts w:hint="eastAsia" w:ascii="仿宋" w:hAnsi="仿宋" w:eastAsia="仿宋" w:cs="仿宋"/>
              </w:rPr>
              <w:t>2</w:t>
            </w:r>
          </w:p>
        </w:tc>
        <w:tc>
          <w:tcPr>
            <w:tcW w:w="9200" w:type="dxa"/>
          </w:tcPr>
          <w:p>
            <w:pPr>
              <w:widowControl/>
              <w:spacing w:line="480" w:lineRule="exact"/>
              <w:jc w:val="left"/>
              <w:rPr>
                <w:sz w:val="24"/>
                <w:szCs w:val="24"/>
              </w:rPr>
            </w:pPr>
            <w:r>
              <w:rPr>
                <w:rFonts w:hint="eastAsia"/>
                <w:color w:val="000000"/>
                <w:sz w:val="24"/>
                <w:szCs w:val="24"/>
                <w:lang w:val="en-US" w:eastAsia="zh-CN"/>
              </w:rPr>
              <w:t>资金来源：已落实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pStyle w:val="27"/>
              <w:widowControl/>
              <w:spacing w:after="0" w:line="480" w:lineRule="exact"/>
              <w:jc w:val="center"/>
              <w:rPr>
                <w:rFonts w:ascii="仿宋" w:hAnsi="仿宋" w:eastAsia="仿宋" w:cs="仿宋"/>
                <w:color w:val="0000FF"/>
              </w:rPr>
            </w:pPr>
            <w:r>
              <w:rPr>
                <w:rFonts w:hint="eastAsia" w:ascii="仿宋" w:hAnsi="仿宋" w:eastAsia="仿宋" w:cs="仿宋"/>
                <w:color w:val="0000FF"/>
              </w:rPr>
              <w:t>3</w:t>
            </w:r>
          </w:p>
        </w:tc>
        <w:tc>
          <w:tcPr>
            <w:tcW w:w="9200" w:type="dxa"/>
          </w:tcPr>
          <w:p>
            <w:pPr>
              <w:widowControl/>
              <w:spacing w:line="480" w:lineRule="exact"/>
              <w:jc w:val="left"/>
              <w:rPr>
                <w:rFonts w:hint="default"/>
                <w:color w:val="0000FF"/>
                <w:sz w:val="24"/>
                <w:szCs w:val="24"/>
                <w:lang w:val="en-US"/>
              </w:rPr>
            </w:pPr>
            <w:r>
              <w:rPr>
                <w:rFonts w:hint="eastAsia"/>
                <w:color w:val="0000FF"/>
                <w:sz w:val="24"/>
                <w:szCs w:val="24"/>
                <w:highlight w:val="none"/>
                <w:lang w:val="en-US" w:eastAsia="zh-CN"/>
              </w:rPr>
              <w:t>采购预算：</w:t>
            </w:r>
            <w:r>
              <w:rPr>
                <w:rFonts w:hint="eastAsia" w:cs="仿宋"/>
                <w:color w:val="0000FF"/>
                <w:spacing w:val="-3"/>
                <w:sz w:val="24"/>
                <w:szCs w:val="24"/>
                <w:highlight w:val="none"/>
                <w:lang w:val="en-US" w:eastAsia="zh-CN" w:bidi="ar-SA"/>
              </w:rPr>
              <w:t>10.6</w:t>
            </w:r>
            <w:r>
              <w:rPr>
                <w:rFonts w:hint="eastAsia"/>
                <w:color w:val="0000FF"/>
                <w:sz w:val="24"/>
                <w:szCs w:val="24"/>
                <w:highlight w:val="none"/>
                <w:lang w:val="en-US" w:eastAsia="zh-CN"/>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pStyle w:val="27"/>
              <w:widowControl/>
              <w:spacing w:after="0" w:line="480" w:lineRule="exact"/>
              <w:jc w:val="center"/>
              <w:rPr>
                <w:rFonts w:ascii="仿宋" w:hAnsi="仿宋" w:eastAsia="仿宋" w:cs="仿宋"/>
              </w:rPr>
            </w:pPr>
            <w:r>
              <w:rPr>
                <w:rFonts w:hint="eastAsia" w:ascii="仿宋" w:hAnsi="仿宋" w:eastAsia="仿宋" w:cs="仿宋"/>
              </w:rPr>
              <w:t>4</w:t>
            </w:r>
          </w:p>
        </w:tc>
        <w:tc>
          <w:tcPr>
            <w:tcW w:w="9200" w:type="dxa"/>
          </w:tcPr>
          <w:p>
            <w:pPr>
              <w:widowControl/>
              <w:spacing w:line="480" w:lineRule="exact"/>
              <w:jc w:val="left"/>
              <w:rPr>
                <w:sz w:val="24"/>
                <w:szCs w:val="24"/>
              </w:rPr>
            </w:pPr>
            <w:r>
              <w:rPr>
                <w:rFonts w:hint="eastAsia"/>
                <w:color w:val="000000"/>
                <w:sz w:val="24"/>
                <w:szCs w:val="24"/>
                <w:lang w:val="en-US" w:eastAsia="zh-CN"/>
              </w:rPr>
              <w:t>报价有效期：90日历天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pStyle w:val="27"/>
              <w:widowControl/>
              <w:spacing w:after="0" w:line="480" w:lineRule="exact"/>
              <w:jc w:val="center"/>
              <w:rPr>
                <w:rFonts w:ascii="仿宋" w:hAnsi="仿宋" w:eastAsia="仿宋" w:cs="仿宋"/>
              </w:rPr>
            </w:pPr>
            <w:r>
              <w:rPr>
                <w:rFonts w:hint="eastAsia" w:ascii="仿宋" w:hAnsi="仿宋" w:eastAsia="仿宋" w:cs="仿宋"/>
              </w:rPr>
              <w:t>5</w:t>
            </w:r>
          </w:p>
        </w:tc>
        <w:tc>
          <w:tcPr>
            <w:tcW w:w="9200" w:type="dxa"/>
          </w:tcPr>
          <w:p>
            <w:pPr>
              <w:widowControl/>
              <w:spacing w:line="480" w:lineRule="exact"/>
              <w:jc w:val="left"/>
              <w:rPr>
                <w:sz w:val="24"/>
                <w:szCs w:val="24"/>
              </w:rPr>
            </w:pPr>
            <w:r>
              <w:rPr>
                <w:rFonts w:hint="eastAsia"/>
                <w:color w:val="0000FF"/>
                <w:sz w:val="24"/>
                <w:szCs w:val="24"/>
                <w:lang w:val="en-US" w:eastAsia="zh-CN"/>
              </w:rPr>
              <w:t>响应文件正本壹份, 副本叁份，电子版 U 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pStyle w:val="27"/>
              <w:widowControl/>
              <w:spacing w:after="0" w:line="480" w:lineRule="exact"/>
              <w:jc w:val="center"/>
              <w:rPr>
                <w:rFonts w:ascii="仿宋" w:hAnsi="仿宋" w:eastAsia="仿宋" w:cs="仿宋"/>
              </w:rPr>
            </w:pPr>
            <w:r>
              <w:rPr>
                <w:rFonts w:hint="eastAsia" w:ascii="仿宋" w:hAnsi="仿宋" w:eastAsia="仿宋" w:cs="仿宋"/>
              </w:rPr>
              <w:t>6</w:t>
            </w:r>
          </w:p>
        </w:tc>
        <w:tc>
          <w:tcPr>
            <w:tcW w:w="9200" w:type="dxa"/>
          </w:tcPr>
          <w:p>
            <w:pPr>
              <w:widowControl/>
              <w:spacing w:line="480" w:lineRule="exact"/>
              <w:jc w:val="left"/>
              <w:rPr>
                <w:sz w:val="24"/>
                <w:szCs w:val="24"/>
              </w:rPr>
            </w:pPr>
            <w:r>
              <w:rPr>
                <w:rFonts w:hint="eastAsia"/>
                <w:color w:val="000000"/>
                <w:sz w:val="24"/>
                <w:szCs w:val="24"/>
                <w:lang w:val="en-US" w:eastAsia="zh-CN"/>
              </w:rPr>
              <w:t xml:space="preserve">响应文件递交截止日期：2021年6月23日09时30分（北京时间） </w:t>
            </w:r>
          </w:p>
          <w:p>
            <w:pPr>
              <w:widowControl/>
              <w:spacing w:line="480" w:lineRule="exact"/>
              <w:jc w:val="left"/>
              <w:rPr>
                <w:sz w:val="24"/>
                <w:szCs w:val="24"/>
              </w:rPr>
            </w:pPr>
            <w:r>
              <w:rPr>
                <w:rFonts w:hint="eastAsia"/>
                <w:color w:val="000000"/>
                <w:sz w:val="24"/>
                <w:szCs w:val="24"/>
                <w:lang w:val="en-US" w:eastAsia="zh-CN"/>
              </w:rPr>
              <w:t>响应文件递交地点：济南市市中区二环南路3377号绿地新都会A1-3号写字楼11层1118室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pStyle w:val="27"/>
              <w:widowControl/>
              <w:spacing w:after="0" w:line="480" w:lineRule="exact"/>
              <w:jc w:val="center"/>
              <w:rPr>
                <w:rFonts w:ascii="仿宋" w:hAnsi="仿宋" w:eastAsia="仿宋" w:cs="仿宋"/>
              </w:rPr>
            </w:pPr>
            <w:r>
              <w:rPr>
                <w:rFonts w:hint="eastAsia" w:ascii="仿宋" w:hAnsi="仿宋" w:eastAsia="仿宋" w:cs="仿宋"/>
              </w:rPr>
              <w:t>7</w:t>
            </w:r>
          </w:p>
        </w:tc>
        <w:tc>
          <w:tcPr>
            <w:tcW w:w="9200" w:type="dxa"/>
          </w:tcPr>
          <w:p>
            <w:pPr>
              <w:widowControl/>
              <w:spacing w:line="480" w:lineRule="exact"/>
              <w:jc w:val="left"/>
              <w:rPr>
                <w:sz w:val="24"/>
                <w:szCs w:val="24"/>
              </w:rPr>
            </w:pPr>
            <w:r>
              <w:rPr>
                <w:rFonts w:hint="eastAsia"/>
                <w:color w:val="000000"/>
                <w:sz w:val="24"/>
                <w:szCs w:val="24"/>
                <w:lang w:val="en-US" w:eastAsia="zh-CN"/>
              </w:rPr>
              <w:t xml:space="preserve">开启时间：2021年6月23日09时30分（北京时间） </w:t>
            </w:r>
          </w:p>
          <w:p>
            <w:pPr>
              <w:widowControl/>
              <w:spacing w:line="480" w:lineRule="exact"/>
              <w:jc w:val="left"/>
              <w:rPr>
                <w:sz w:val="24"/>
                <w:szCs w:val="24"/>
              </w:rPr>
            </w:pPr>
            <w:r>
              <w:rPr>
                <w:rFonts w:hint="eastAsia"/>
                <w:color w:val="000000"/>
                <w:sz w:val="24"/>
                <w:szCs w:val="24"/>
                <w:lang w:val="en-US" w:eastAsia="zh-CN"/>
              </w:rPr>
              <w:t>开启地点：</w:t>
            </w:r>
            <w:r>
              <w:rPr>
                <w:rFonts w:hint="eastAsia" w:ascii="仿宋" w:hAnsi="仿宋" w:eastAsia="仿宋" w:cs="仿宋"/>
                <w:sz w:val="24"/>
                <w:szCs w:val="24"/>
                <w:lang w:eastAsia="zh-CN"/>
              </w:rPr>
              <w:t>济南市市中区二环南路3377号绿地新都会A1-3号写字楼11层11</w:t>
            </w:r>
            <w:r>
              <w:rPr>
                <w:rFonts w:hint="eastAsia" w:cs="仿宋"/>
                <w:sz w:val="24"/>
                <w:szCs w:val="24"/>
                <w:lang w:val="en-US" w:eastAsia="zh-CN"/>
              </w:rPr>
              <w:t>18</w:t>
            </w:r>
            <w:r>
              <w:rPr>
                <w:rFonts w:hint="eastAsia" w:ascii="仿宋" w:hAnsi="仿宋" w:eastAsia="仿宋" w:cs="仿宋"/>
                <w:sz w:val="24"/>
                <w:szCs w:val="24"/>
                <w:lang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pStyle w:val="27"/>
              <w:widowControl/>
              <w:spacing w:after="0" w:line="480" w:lineRule="exact"/>
              <w:jc w:val="center"/>
              <w:rPr>
                <w:rFonts w:ascii="仿宋" w:hAnsi="仿宋" w:eastAsia="仿宋" w:cs="仿宋"/>
              </w:rPr>
            </w:pPr>
            <w:r>
              <w:rPr>
                <w:rFonts w:hint="eastAsia" w:ascii="仿宋" w:hAnsi="仿宋" w:eastAsia="仿宋" w:cs="仿宋"/>
              </w:rPr>
              <w:t>8</w:t>
            </w:r>
          </w:p>
        </w:tc>
        <w:tc>
          <w:tcPr>
            <w:tcW w:w="9200" w:type="dxa"/>
          </w:tcPr>
          <w:p>
            <w:pPr>
              <w:widowControl/>
              <w:spacing w:line="480" w:lineRule="exact"/>
              <w:jc w:val="left"/>
              <w:rPr>
                <w:sz w:val="24"/>
                <w:szCs w:val="24"/>
              </w:rPr>
            </w:pPr>
            <w:r>
              <w:rPr>
                <w:rFonts w:hint="eastAsia"/>
                <w:color w:val="000000"/>
                <w:sz w:val="24"/>
                <w:szCs w:val="24"/>
                <w:lang w:val="en-US" w:eastAsia="zh-CN"/>
              </w:rPr>
              <w:t>资格后审：本次招标采用资格后审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pStyle w:val="27"/>
              <w:widowControl/>
              <w:spacing w:after="0" w:line="480" w:lineRule="exact"/>
              <w:jc w:val="center"/>
              <w:rPr>
                <w:rFonts w:ascii="仿宋" w:hAnsi="仿宋" w:eastAsia="仿宋" w:cs="仿宋"/>
              </w:rPr>
            </w:pPr>
            <w:r>
              <w:rPr>
                <w:rFonts w:hint="eastAsia" w:ascii="仿宋" w:hAnsi="仿宋" w:eastAsia="仿宋" w:cs="仿宋"/>
              </w:rPr>
              <w:t>9</w:t>
            </w:r>
          </w:p>
        </w:tc>
        <w:tc>
          <w:tcPr>
            <w:tcW w:w="9200" w:type="dxa"/>
          </w:tcPr>
          <w:p>
            <w:pPr>
              <w:pStyle w:val="18"/>
              <w:spacing w:line="480" w:lineRule="exact"/>
              <w:ind w:firstLine="0" w:firstLineChars="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磋商保证金：</w:t>
            </w:r>
          </w:p>
          <w:p>
            <w:pPr>
              <w:pStyle w:val="18"/>
              <w:keepNext w:val="0"/>
              <w:keepLines w:val="0"/>
              <w:pageBreakBefore w:val="0"/>
              <w:widowControl w:val="0"/>
              <w:kinsoku/>
              <w:wordWrap/>
              <w:overflowPunct/>
              <w:topLinePunct w:val="0"/>
              <w:autoSpaceDE/>
              <w:autoSpaceDN/>
              <w:bidi w:val="0"/>
              <w:adjustRightInd/>
              <w:snapToGrid/>
              <w:spacing w:beforeLines="0" w:after="0" w:afterLines="0" w:line="480" w:lineRule="exact"/>
              <w:ind w:left="0" w:leftChars="0" w:firstLine="0" w:firstLineChars="0"/>
              <w:jc w:val="both"/>
              <w:textAlignment w:val="auto"/>
              <w:rPr>
                <w:rFonts w:hint="eastAsia" w:ascii="仿宋" w:hAnsi="仿宋" w:eastAsia="仿宋" w:cs="仿宋"/>
                <w:b w:val="0"/>
                <w:sz w:val="24"/>
                <w:szCs w:val="24"/>
              </w:rPr>
            </w:pPr>
            <w:r>
              <w:rPr>
                <w:rFonts w:hint="eastAsia" w:ascii="仿宋" w:hAnsi="仿宋" w:eastAsia="仿宋" w:cs="仿宋"/>
                <w:b w:val="0"/>
                <w:sz w:val="24"/>
                <w:szCs w:val="24"/>
                <w:lang w:eastAsia="zh-CN"/>
              </w:rPr>
              <w:t>（</w:t>
            </w:r>
            <w:r>
              <w:rPr>
                <w:rFonts w:hint="eastAsia" w:ascii="仿宋" w:hAnsi="仿宋" w:eastAsia="仿宋" w:cs="仿宋"/>
                <w:b w:val="0"/>
                <w:sz w:val="24"/>
                <w:szCs w:val="24"/>
                <w:lang w:val="en-US" w:eastAsia="zh-CN"/>
              </w:rPr>
              <w:t>1</w:t>
            </w:r>
            <w:r>
              <w:rPr>
                <w:rFonts w:hint="eastAsia" w:ascii="仿宋" w:hAnsi="仿宋" w:eastAsia="仿宋" w:cs="仿宋"/>
                <w:b w:val="0"/>
                <w:sz w:val="24"/>
                <w:szCs w:val="24"/>
                <w:lang w:eastAsia="zh-CN"/>
              </w:rPr>
              <w:t>）</w:t>
            </w:r>
            <w:r>
              <w:rPr>
                <w:rFonts w:hint="eastAsia" w:ascii="仿宋" w:hAnsi="仿宋" w:eastAsia="仿宋" w:cs="仿宋"/>
                <w:b w:val="0"/>
                <w:sz w:val="24"/>
                <w:szCs w:val="24"/>
              </w:rPr>
              <w:t>形式：银行汇票、电汇、支票；以电汇形式提交的</w:t>
            </w:r>
            <w:r>
              <w:rPr>
                <w:rFonts w:hint="eastAsia" w:ascii="仿宋" w:hAnsi="仿宋" w:eastAsia="仿宋" w:cs="仿宋"/>
                <w:b w:val="0"/>
                <w:sz w:val="24"/>
                <w:szCs w:val="24"/>
                <w:lang w:eastAsia="zh-CN"/>
              </w:rPr>
              <w:t>磋商保证金</w:t>
            </w:r>
            <w:r>
              <w:rPr>
                <w:rFonts w:hint="eastAsia" w:ascii="仿宋" w:hAnsi="仿宋" w:eastAsia="仿宋" w:cs="仿宋"/>
                <w:b w:val="0"/>
                <w:sz w:val="24"/>
                <w:szCs w:val="24"/>
              </w:rPr>
              <w:t>应当从其</w:t>
            </w:r>
            <w:r>
              <w:rPr>
                <w:rFonts w:hint="eastAsia" w:ascii="仿宋" w:hAnsi="仿宋" w:eastAsia="仿宋" w:cs="仿宋"/>
                <w:b w:val="0"/>
                <w:sz w:val="24"/>
                <w:szCs w:val="24"/>
                <w:lang w:val="en-US" w:eastAsia="zh-CN"/>
              </w:rPr>
              <w:t>公司</w:t>
            </w:r>
            <w:r>
              <w:rPr>
                <w:rFonts w:hint="eastAsia" w:ascii="仿宋" w:hAnsi="仿宋" w:eastAsia="仿宋" w:cs="仿宋"/>
                <w:b w:val="0"/>
                <w:sz w:val="24"/>
                <w:szCs w:val="24"/>
              </w:rPr>
              <w:t>账户转出，不接受现金形式递交的</w:t>
            </w:r>
            <w:r>
              <w:rPr>
                <w:rFonts w:hint="eastAsia" w:ascii="仿宋" w:hAnsi="仿宋" w:eastAsia="仿宋" w:cs="仿宋"/>
                <w:b w:val="0"/>
                <w:sz w:val="24"/>
                <w:szCs w:val="24"/>
                <w:lang w:eastAsia="zh-CN"/>
              </w:rPr>
              <w:t>磋商保证金</w:t>
            </w:r>
            <w:r>
              <w:rPr>
                <w:rFonts w:hint="eastAsia" w:ascii="仿宋" w:hAnsi="仿宋" w:eastAsia="仿宋" w:cs="仿宋"/>
                <w:b w:val="0"/>
                <w:sz w:val="24"/>
                <w:szCs w:val="24"/>
              </w:rPr>
              <w:t>。</w:t>
            </w:r>
          </w:p>
          <w:p>
            <w:pPr>
              <w:pStyle w:val="18"/>
              <w:keepNext w:val="0"/>
              <w:keepLines w:val="0"/>
              <w:pageBreakBefore w:val="0"/>
              <w:widowControl w:val="0"/>
              <w:kinsoku/>
              <w:wordWrap/>
              <w:overflowPunct/>
              <w:topLinePunct w:val="0"/>
              <w:autoSpaceDE/>
              <w:autoSpaceDN/>
              <w:bidi w:val="0"/>
              <w:adjustRightInd/>
              <w:snapToGrid/>
              <w:spacing w:beforeLines="0" w:after="0" w:afterLines="0" w:line="480" w:lineRule="exact"/>
              <w:ind w:left="0" w:leftChars="0" w:firstLine="0" w:firstLineChars="0"/>
              <w:jc w:val="both"/>
              <w:textAlignment w:val="auto"/>
              <w:rPr>
                <w:rFonts w:hint="default" w:ascii="仿宋" w:hAnsi="仿宋" w:eastAsia="仿宋" w:cs="仿宋"/>
                <w:b w:val="0"/>
                <w:color w:val="0000FF"/>
                <w:sz w:val="24"/>
                <w:szCs w:val="24"/>
                <w:highlight w:val="none"/>
                <w:lang w:val="en-US" w:eastAsia="zh-CN"/>
              </w:rPr>
            </w:pPr>
            <w:r>
              <w:rPr>
                <w:rFonts w:hint="eastAsia" w:ascii="仿宋" w:hAnsi="仿宋" w:eastAsia="仿宋" w:cs="仿宋"/>
                <w:b w:val="0"/>
                <w:color w:val="0000FF"/>
                <w:sz w:val="24"/>
                <w:szCs w:val="24"/>
                <w:highlight w:val="none"/>
              </w:rPr>
              <w:t>（2）金额：</w:t>
            </w:r>
            <w:r>
              <w:rPr>
                <w:rFonts w:hint="eastAsia" w:ascii="仿宋" w:hAnsi="仿宋" w:eastAsia="仿宋" w:cs="仿宋"/>
                <w:b w:val="0"/>
                <w:color w:val="0000FF"/>
                <w:sz w:val="24"/>
                <w:szCs w:val="24"/>
                <w:highlight w:val="none"/>
                <w:lang w:val="en-US" w:eastAsia="zh-CN"/>
              </w:rPr>
              <w:t>3000元</w:t>
            </w:r>
          </w:p>
          <w:p>
            <w:pPr>
              <w:pStyle w:val="18"/>
              <w:keepNext w:val="0"/>
              <w:keepLines w:val="0"/>
              <w:pageBreakBefore w:val="0"/>
              <w:widowControl w:val="0"/>
              <w:kinsoku/>
              <w:wordWrap/>
              <w:overflowPunct/>
              <w:topLinePunct w:val="0"/>
              <w:autoSpaceDE/>
              <w:autoSpaceDN/>
              <w:bidi w:val="0"/>
              <w:adjustRightInd/>
              <w:snapToGrid/>
              <w:spacing w:beforeLines="0" w:after="0" w:afterLines="0" w:line="480" w:lineRule="exact"/>
              <w:ind w:left="0" w:leftChars="0" w:firstLine="0" w:firstLineChars="0"/>
              <w:jc w:val="both"/>
              <w:textAlignment w:val="auto"/>
              <w:rPr>
                <w:rFonts w:hint="eastAsia" w:ascii="仿宋" w:hAnsi="仿宋" w:eastAsia="仿宋" w:cs="仿宋"/>
                <w:b w:val="0"/>
                <w:sz w:val="24"/>
                <w:szCs w:val="24"/>
              </w:rPr>
            </w:pPr>
            <w:r>
              <w:rPr>
                <w:rFonts w:hint="eastAsia" w:ascii="仿宋" w:hAnsi="仿宋" w:eastAsia="仿宋" w:cs="仿宋"/>
                <w:b w:val="0"/>
                <w:sz w:val="24"/>
                <w:szCs w:val="24"/>
              </w:rPr>
              <w:t>（3）提交时间：</w:t>
            </w:r>
            <w:r>
              <w:rPr>
                <w:rFonts w:hint="eastAsia" w:ascii="仿宋" w:hAnsi="仿宋" w:eastAsia="仿宋" w:cs="仿宋"/>
                <w:b w:val="0"/>
                <w:sz w:val="24"/>
                <w:szCs w:val="24"/>
                <w:lang w:val="en-US" w:eastAsia="zh-CN"/>
              </w:rPr>
              <w:t>2021</w:t>
            </w:r>
            <w:r>
              <w:rPr>
                <w:rFonts w:hint="eastAsia" w:ascii="仿宋" w:hAnsi="仿宋" w:eastAsia="仿宋" w:cs="仿宋"/>
                <w:b w:val="0"/>
                <w:sz w:val="24"/>
                <w:szCs w:val="24"/>
              </w:rPr>
              <w:t>年</w:t>
            </w:r>
            <w:r>
              <w:rPr>
                <w:rFonts w:hint="eastAsia" w:ascii="仿宋" w:hAnsi="仿宋" w:eastAsia="仿宋" w:cs="仿宋"/>
                <w:b w:val="0"/>
                <w:sz w:val="24"/>
                <w:szCs w:val="24"/>
                <w:lang w:val="en-US" w:eastAsia="zh-CN"/>
              </w:rPr>
              <w:t>6</w:t>
            </w:r>
            <w:r>
              <w:rPr>
                <w:rFonts w:hint="eastAsia" w:ascii="仿宋" w:hAnsi="仿宋" w:eastAsia="仿宋" w:cs="仿宋"/>
                <w:b w:val="0"/>
                <w:sz w:val="24"/>
                <w:szCs w:val="24"/>
              </w:rPr>
              <w:t>月</w:t>
            </w:r>
            <w:r>
              <w:rPr>
                <w:rFonts w:hint="eastAsia" w:ascii="仿宋" w:hAnsi="仿宋" w:eastAsia="仿宋" w:cs="仿宋"/>
                <w:b w:val="0"/>
                <w:sz w:val="24"/>
                <w:szCs w:val="24"/>
                <w:lang w:val="en-US" w:eastAsia="zh-CN"/>
              </w:rPr>
              <w:t>22</w:t>
            </w:r>
            <w:r>
              <w:rPr>
                <w:rFonts w:hint="eastAsia" w:ascii="仿宋" w:hAnsi="仿宋" w:eastAsia="仿宋" w:cs="仿宋"/>
                <w:b w:val="0"/>
                <w:sz w:val="24"/>
                <w:szCs w:val="24"/>
              </w:rPr>
              <w:t>日</w:t>
            </w:r>
            <w:r>
              <w:rPr>
                <w:rFonts w:hint="eastAsia" w:ascii="仿宋" w:hAnsi="仿宋" w:eastAsia="仿宋" w:cs="仿宋"/>
                <w:b w:val="0"/>
                <w:sz w:val="24"/>
                <w:szCs w:val="24"/>
                <w:lang w:val="en-US" w:eastAsia="zh-CN"/>
              </w:rPr>
              <w:t xml:space="preserve"> 12:00</w:t>
            </w:r>
            <w:r>
              <w:rPr>
                <w:rFonts w:hint="eastAsia" w:ascii="仿宋" w:hAnsi="仿宋" w:eastAsia="仿宋" w:cs="仿宋"/>
                <w:b w:val="0"/>
                <w:sz w:val="24"/>
                <w:szCs w:val="24"/>
              </w:rPr>
              <w:t>前（以到账时间为准）向采购代理机构交纳，交纳账户信息如下：</w:t>
            </w:r>
          </w:p>
          <w:p>
            <w:pPr>
              <w:pStyle w:val="18"/>
              <w:keepNext w:val="0"/>
              <w:keepLines w:val="0"/>
              <w:pageBreakBefore w:val="0"/>
              <w:widowControl w:val="0"/>
              <w:kinsoku/>
              <w:wordWrap/>
              <w:overflowPunct/>
              <w:topLinePunct w:val="0"/>
              <w:autoSpaceDE/>
              <w:autoSpaceDN/>
              <w:bidi w:val="0"/>
              <w:adjustRightInd/>
              <w:snapToGrid/>
              <w:spacing w:beforeLines="0" w:after="0" w:afterLines="0" w:line="480" w:lineRule="exact"/>
              <w:ind w:left="0" w:leftChars="0" w:firstLine="0" w:firstLineChars="0"/>
              <w:jc w:val="both"/>
              <w:textAlignment w:val="auto"/>
              <w:rPr>
                <w:rFonts w:hint="eastAsia" w:ascii="仿宋" w:hAnsi="仿宋" w:eastAsia="仿宋" w:cs="仿宋"/>
                <w:b w:val="0"/>
                <w:sz w:val="24"/>
                <w:szCs w:val="24"/>
              </w:rPr>
            </w:pPr>
            <w:r>
              <w:rPr>
                <w:rFonts w:hint="eastAsia" w:ascii="仿宋" w:hAnsi="仿宋" w:eastAsia="仿宋" w:cs="仿宋"/>
                <w:b w:val="0"/>
                <w:sz w:val="24"/>
                <w:szCs w:val="24"/>
              </w:rPr>
              <w:t xml:space="preserve">开户名称：山东三誉招标代理有限公司 </w:t>
            </w:r>
          </w:p>
          <w:p>
            <w:pPr>
              <w:pStyle w:val="18"/>
              <w:keepNext w:val="0"/>
              <w:keepLines w:val="0"/>
              <w:pageBreakBefore w:val="0"/>
              <w:widowControl w:val="0"/>
              <w:kinsoku/>
              <w:wordWrap/>
              <w:overflowPunct/>
              <w:topLinePunct w:val="0"/>
              <w:autoSpaceDE/>
              <w:autoSpaceDN/>
              <w:bidi w:val="0"/>
              <w:adjustRightInd/>
              <w:snapToGrid/>
              <w:spacing w:beforeLines="0" w:after="0" w:afterLines="0" w:line="480" w:lineRule="exact"/>
              <w:ind w:left="0" w:leftChars="0" w:firstLine="0" w:firstLineChars="0"/>
              <w:jc w:val="both"/>
              <w:textAlignment w:val="auto"/>
              <w:rPr>
                <w:rFonts w:hint="eastAsia" w:ascii="仿宋" w:hAnsi="仿宋" w:eastAsia="仿宋" w:cs="仿宋"/>
                <w:b w:val="0"/>
                <w:sz w:val="24"/>
                <w:szCs w:val="24"/>
              </w:rPr>
            </w:pPr>
            <w:r>
              <w:rPr>
                <w:rFonts w:hint="eastAsia" w:ascii="仿宋" w:hAnsi="仿宋" w:eastAsia="仿宋" w:cs="仿宋"/>
                <w:b w:val="0"/>
                <w:sz w:val="24"/>
                <w:szCs w:val="24"/>
              </w:rPr>
              <w:t>开 户 行：中国民生银行济南玉函路支行</w:t>
            </w:r>
          </w:p>
          <w:p>
            <w:pPr>
              <w:pStyle w:val="18"/>
              <w:keepNext w:val="0"/>
              <w:keepLines w:val="0"/>
              <w:pageBreakBefore w:val="0"/>
              <w:widowControl w:val="0"/>
              <w:kinsoku/>
              <w:wordWrap/>
              <w:overflowPunct/>
              <w:topLinePunct w:val="0"/>
              <w:autoSpaceDE/>
              <w:autoSpaceDN/>
              <w:bidi w:val="0"/>
              <w:adjustRightInd/>
              <w:snapToGrid/>
              <w:spacing w:beforeLines="0" w:after="0" w:afterLines="0" w:line="480" w:lineRule="exact"/>
              <w:ind w:left="0" w:leftChars="0" w:firstLine="0" w:firstLineChars="0"/>
              <w:jc w:val="both"/>
              <w:textAlignment w:val="auto"/>
              <w:rPr>
                <w:rFonts w:hint="eastAsia" w:ascii="仿宋" w:hAnsi="仿宋" w:eastAsia="仿宋" w:cs="仿宋"/>
                <w:b w:val="0"/>
                <w:sz w:val="24"/>
                <w:szCs w:val="24"/>
              </w:rPr>
            </w:pPr>
            <w:r>
              <w:rPr>
                <w:rFonts w:hint="eastAsia" w:ascii="仿宋" w:hAnsi="仿宋" w:eastAsia="仿宋" w:cs="仿宋"/>
                <w:b w:val="0"/>
                <w:sz w:val="24"/>
                <w:szCs w:val="24"/>
              </w:rPr>
              <w:t>账    号：697833452</w:t>
            </w:r>
          </w:p>
          <w:p>
            <w:pPr>
              <w:pStyle w:val="18"/>
              <w:keepNext w:val="0"/>
              <w:keepLines w:val="0"/>
              <w:pageBreakBefore w:val="0"/>
              <w:widowControl w:val="0"/>
              <w:kinsoku/>
              <w:wordWrap/>
              <w:overflowPunct/>
              <w:topLinePunct w:val="0"/>
              <w:autoSpaceDE/>
              <w:autoSpaceDN/>
              <w:bidi w:val="0"/>
              <w:adjustRightInd/>
              <w:snapToGrid/>
              <w:spacing w:beforeLines="0" w:after="0" w:afterLines="0" w:line="480" w:lineRule="exact"/>
              <w:ind w:left="0" w:leftChars="0" w:firstLine="0" w:firstLineChars="0"/>
              <w:jc w:val="both"/>
              <w:textAlignment w:val="auto"/>
              <w:rPr>
                <w:rFonts w:hint="eastAsia" w:ascii="仿宋" w:hAnsi="仿宋" w:eastAsia="仿宋" w:cs="仿宋"/>
                <w:b w:val="0"/>
                <w:sz w:val="24"/>
                <w:szCs w:val="24"/>
              </w:rPr>
            </w:pPr>
            <w:r>
              <w:rPr>
                <w:rFonts w:hint="eastAsia" w:ascii="仿宋" w:hAnsi="仿宋" w:eastAsia="仿宋" w:cs="仿宋"/>
                <w:b w:val="0"/>
                <w:sz w:val="24"/>
                <w:szCs w:val="24"/>
              </w:rPr>
              <w:t>（4）</w:t>
            </w:r>
            <w:r>
              <w:rPr>
                <w:rFonts w:hint="eastAsia" w:ascii="仿宋" w:hAnsi="仿宋" w:eastAsia="仿宋" w:cs="仿宋"/>
                <w:b w:val="0"/>
                <w:sz w:val="24"/>
                <w:szCs w:val="24"/>
                <w:lang w:eastAsia="zh-CN"/>
              </w:rPr>
              <w:t>磋商保证金</w:t>
            </w:r>
            <w:r>
              <w:rPr>
                <w:rFonts w:hint="eastAsia" w:ascii="仿宋" w:hAnsi="仿宋" w:eastAsia="仿宋" w:cs="仿宋"/>
                <w:b w:val="0"/>
                <w:sz w:val="24"/>
                <w:szCs w:val="24"/>
              </w:rPr>
              <w:t>的提交单位必须与供应商名称一致，注明项目名称、项目编号。</w:t>
            </w:r>
          </w:p>
          <w:p>
            <w:pPr>
              <w:pStyle w:val="18"/>
              <w:keepNext w:val="0"/>
              <w:keepLines w:val="0"/>
              <w:pageBreakBefore w:val="0"/>
              <w:widowControl w:val="0"/>
              <w:wordWrap/>
              <w:topLinePunct w:val="0"/>
              <w:autoSpaceDE/>
              <w:autoSpaceDN/>
              <w:bidi w:val="0"/>
              <w:adjustRightInd/>
              <w:snapToGrid/>
              <w:spacing w:beforeLines="0" w:afterLines="0" w:line="480" w:lineRule="exact"/>
              <w:ind w:left="0" w:leftChars="0" w:firstLine="0" w:firstLineChars="0"/>
              <w:jc w:val="both"/>
              <w:textAlignment w:val="auto"/>
              <w:rPr>
                <w:rFonts w:hint="eastAsia" w:ascii="仿宋" w:hAnsi="仿宋" w:eastAsia="仿宋" w:cs="仿宋"/>
                <w:b w:val="0"/>
                <w:sz w:val="24"/>
                <w:szCs w:val="24"/>
              </w:rPr>
            </w:pPr>
            <w:r>
              <w:rPr>
                <w:rFonts w:hint="eastAsia" w:ascii="仿宋" w:hAnsi="仿宋" w:eastAsia="仿宋" w:cs="仿宋"/>
                <w:b w:val="0"/>
                <w:sz w:val="24"/>
                <w:szCs w:val="24"/>
              </w:rPr>
              <w:t>（5）联系人：赵会计</w:t>
            </w:r>
            <w:r>
              <w:rPr>
                <w:rFonts w:hint="eastAsia" w:ascii="仿宋" w:hAnsi="仿宋" w:eastAsia="仿宋" w:cs="仿宋"/>
                <w:b w:val="0"/>
                <w:sz w:val="24"/>
                <w:szCs w:val="24"/>
                <w:lang w:val="en-US" w:eastAsia="zh-CN"/>
              </w:rPr>
              <w:t xml:space="preserve">   </w:t>
            </w:r>
            <w:r>
              <w:rPr>
                <w:rFonts w:hint="eastAsia" w:ascii="仿宋" w:hAnsi="仿宋" w:eastAsia="仿宋" w:cs="仿宋"/>
                <w:b w:val="0"/>
                <w:sz w:val="24"/>
                <w:szCs w:val="24"/>
              </w:rPr>
              <w:t>0531-58183009</w:t>
            </w:r>
          </w:p>
          <w:p>
            <w:pPr>
              <w:pStyle w:val="18"/>
              <w:spacing w:line="480" w:lineRule="exact"/>
              <w:ind w:firstLine="0" w:firstLineChars="0"/>
              <w:jc w:val="both"/>
              <w:rPr>
                <w:rFonts w:hint="default" w:ascii="仿宋" w:hAnsi="仿宋" w:eastAsia="仿宋"/>
                <w:color w:val="000000"/>
                <w:sz w:val="24"/>
                <w:szCs w:val="24"/>
                <w:lang w:val="en-US" w:eastAsia="zh-CN"/>
              </w:rPr>
            </w:pPr>
            <w:r>
              <w:rPr>
                <w:rFonts w:hint="eastAsia" w:ascii="仿宋" w:hAnsi="仿宋" w:eastAsia="仿宋" w:cs="仿宋"/>
                <w:sz w:val="24"/>
                <w:szCs w:val="24"/>
                <w:lang w:eastAsia="zh-CN"/>
              </w:rPr>
              <w:t>磋商保证金以到账时间为准</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pStyle w:val="27"/>
              <w:widowControl/>
              <w:spacing w:after="0" w:line="480" w:lineRule="exact"/>
              <w:jc w:val="center"/>
              <w:rPr>
                <w:rFonts w:ascii="仿宋" w:hAnsi="仿宋" w:eastAsia="仿宋" w:cs="仿宋"/>
                <w:color w:val="0000FF"/>
                <w:highlight w:val="none"/>
              </w:rPr>
            </w:pPr>
            <w:r>
              <w:rPr>
                <w:rFonts w:hint="eastAsia" w:ascii="仿宋" w:hAnsi="仿宋" w:eastAsia="仿宋" w:cs="仿宋"/>
                <w:color w:val="0000FF"/>
                <w:highlight w:val="none"/>
              </w:rPr>
              <w:t>10</w:t>
            </w:r>
          </w:p>
        </w:tc>
        <w:tc>
          <w:tcPr>
            <w:tcW w:w="9200" w:type="dxa"/>
          </w:tcPr>
          <w:p>
            <w:pPr>
              <w:widowControl/>
              <w:spacing w:line="480" w:lineRule="exact"/>
              <w:jc w:val="left"/>
              <w:rPr>
                <w:color w:val="0000FF"/>
                <w:sz w:val="24"/>
                <w:szCs w:val="24"/>
                <w:highlight w:val="none"/>
                <w:lang w:val="en-US"/>
              </w:rPr>
            </w:pPr>
            <w:r>
              <w:rPr>
                <w:rFonts w:hint="eastAsia"/>
                <w:color w:val="0000FF"/>
                <w:sz w:val="24"/>
                <w:szCs w:val="24"/>
                <w:highlight w:val="none"/>
                <w:lang w:val="en-US" w:eastAsia="zh-CN"/>
              </w:rPr>
              <w:t>服务期：服务期为2年。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pStyle w:val="27"/>
              <w:widowControl/>
              <w:spacing w:after="0" w:line="480" w:lineRule="exact"/>
              <w:jc w:val="center"/>
              <w:rPr>
                <w:rFonts w:ascii="仿宋" w:hAnsi="仿宋" w:eastAsia="仿宋" w:cs="仿宋"/>
              </w:rPr>
            </w:pPr>
            <w:r>
              <w:rPr>
                <w:rFonts w:hint="eastAsia" w:ascii="仿宋" w:hAnsi="仿宋" w:eastAsia="仿宋" w:cs="仿宋"/>
              </w:rPr>
              <w:t>11</w:t>
            </w:r>
          </w:p>
        </w:tc>
        <w:tc>
          <w:tcPr>
            <w:tcW w:w="9200" w:type="dxa"/>
          </w:tcPr>
          <w:p>
            <w:pPr>
              <w:widowControl/>
              <w:spacing w:line="480" w:lineRule="exact"/>
              <w:jc w:val="left"/>
              <w:rPr>
                <w:rFonts w:hint="default"/>
                <w:sz w:val="24"/>
                <w:szCs w:val="24"/>
                <w:highlight w:val="yellow"/>
                <w:lang w:val="en-US"/>
              </w:rPr>
            </w:pPr>
            <w:r>
              <w:rPr>
                <w:rFonts w:hint="eastAsia"/>
                <w:color w:val="000000"/>
                <w:sz w:val="24"/>
                <w:szCs w:val="24"/>
                <w:highlight w:val="none"/>
                <w:lang w:val="en-US" w:eastAsia="zh-CN"/>
              </w:rPr>
              <w:t>付款方式：签订合同时另行约定。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pStyle w:val="27"/>
              <w:widowControl/>
              <w:spacing w:after="0" w:line="480" w:lineRule="exact"/>
              <w:jc w:val="center"/>
              <w:rPr>
                <w:rFonts w:ascii="仿宋" w:hAnsi="仿宋" w:eastAsia="仿宋" w:cs="仿宋"/>
              </w:rPr>
            </w:pPr>
            <w:r>
              <w:rPr>
                <w:rFonts w:hint="eastAsia" w:ascii="仿宋" w:hAnsi="仿宋" w:eastAsia="仿宋" w:cs="仿宋"/>
              </w:rPr>
              <w:t>12</w:t>
            </w:r>
          </w:p>
        </w:tc>
        <w:tc>
          <w:tcPr>
            <w:tcW w:w="9200" w:type="dxa"/>
          </w:tcPr>
          <w:p>
            <w:pPr>
              <w:widowControl/>
              <w:spacing w:line="480" w:lineRule="exact"/>
              <w:jc w:val="left"/>
              <w:rPr>
                <w:sz w:val="24"/>
                <w:szCs w:val="24"/>
              </w:rPr>
            </w:pPr>
            <w:r>
              <w:rPr>
                <w:rFonts w:hint="eastAsia"/>
                <w:b/>
                <w:color w:val="000000"/>
                <w:sz w:val="24"/>
                <w:szCs w:val="24"/>
                <w:lang w:val="en-US" w:eastAsia="zh-CN"/>
              </w:rPr>
              <w:t xml:space="preserve">重要注意事项： </w:t>
            </w:r>
          </w:p>
          <w:p>
            <w:pPr>
              <w:widowControl/>
              <w:spacing w:line="480" w:lineRule="exact"/>
              <w:jc w:val="left"/>
              <w:rPr>
                <w:sz w:val="24"/>
                <w:szCs w:val="24"/>
              </w:rPr>
            </w:pPr>
            <w:r>
              <w:rPr>
                <w:rFonts w:hint="eastAsia"/>
                <w:b/>
                <w:color w:val="000000"/>
                <w:sz w:val="24"/>
                <w:szCs w:val="24"/>
                <w:lang w:val="en-US" w:eastAsia="zh-CN"/>
              </w:rPr>
              <w:t xml:space="preserve">1、投标时，要求提供证件原件的，必须提供原件，否则将拒绝接受其投标。 </w:t>
            </w:r>
          </w:p>
          <w:p>
            <w:pPr>
              <w:widowControl/>
              <w:spacing w:line="480" w:lineRule="exact"/>
              <w:jc w:val="left"/>
              <w:rPr>
                <w:sz w:val="24"/>
                <w:szCs w:val="24"/>
              </w:rPr>
            </w:pPr>
            <w:r>
              <w:rPr>
                <w:rFonts w:hint="eastAsia"/>
                <w:b/>
                <w:color w:val="000000"/>
                <w:sz w:val="24"/>
                <w:szCs w:val="24"/>
                <w:lang w:val="en-US" w:eastAsia="zh-CN"/>
              </w:rPr>
              <w:t>2、响应文件装订方式：胶装。</w:t>
            </w:r>
          </w:p>
          <w:p>
            <w:pPr>
              <w:widowControl/>
              <w:spacing w:line="480" w:lineRule="exact"/>
              <w:jc w:val="left"/>
              <w:rPr>
                <w:sz w:val="24"/>
                <w:szCs w:val="24"/>
              </w:rPr>
            </w:pPr>
            <w:r>
              <w:rPr>
                <w:rFonts w:hint="eastAsia"/>
                <w:b/>
                <w:color w:val="000000"/>
                <w:sz w:val="24"/>
                <w:szCs w:val="24"/>
                <w:lang w:val="en-US" w:eastAsia="zh-CN"/>
              </w:rPr>
              <w:t>3、未按磋商文件要求签字、盖章的按无效投标处理。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222" w:type="dxa"/>
            <w:vAlign w:val="center"/>
          </w:tcPr>
          <w:p>
            <w:pPr>
              <w:pStyle w:val="27"/>
              <w:widowControl/>
              <w:spacing w:after="0" w:line="480" w:lineRule="exact"/>
              <w:jc w:val="center"/>
              <w:rPr>
                <w:rFonts w:ascii="仿宋" w:hAnsi="仿宋" w:eastAsia="仿宋" w:cs="仿宋"/>
              </w:rPr>
            </w:pPr>
            <w:r>
              <w:rPr>
                <w:rFonts w:hint="eastAsia" w:ascii="仿宋" w:hAnsi="仿宋" w:eastAsia="仿宋" w:cs="仿宋"/>
              </w:rPr>
              <w:t>13</w:t>
            </w:r>
          </w:p>
        </w:tc>
        <w:tc>
          <w:tcPr>
            <w:tcW w:w="9200" w:type="dxa"/>
          </w:tcPr>
          <w:p>
            <w:pPr>
              <w:widowControl/>
              <w:kinsoku w:val="0"/>
              <w:overflowPunct w:val="0"/>
              <w:spacing w:line="480" w:lineRule="exact"/>
              <w:ind w:left="102"/>
              <w:jc w:val="both"/>
              <w:rPr>
                <w:sz w:val="24"/>
              </w:rPr>
            </w:pPr>
            <w:r>
              <w:rPr>
                <w:rFonts w:hint="eastAsia"/>
                <w:sz w:val="24"/>
              </w:rPr>
              <w:t>有关磋商活动的文电请与下述地址联系：</w:t>
            </w:r>
          </w:p>
          <w:p>
            <w:pPr>
              <w:widowControl/>
              <w:kinsoku w:val="0"/>
              <w:overflowPunct w:val="0"/>
              <w:spacing w:line="480" w:lineRule="exact"/>
              <w:ind w:left="102"/>
              <w:jc w:val="both"/>
              <w:rPr>
                <w:sz w:val="24"/>
                <w:lang w:val="en-US" w:eastAsia="zh-CN"/>
              </w:rPr>
            </w:pPr>
            <w:r>
              <w:rPr>
                <w:rFonts w:hint="eastAsia"/>
                <w:sz w:val="24"/>
              </w:rPr>
              <w:t>地  址：济南市市中区二环南路3377号绿地新都会A1-3号写字楼11层110</w:t>
            </w:r>
            <w:r>
              <w:rPr>
                <w:rFonts w:hint="eastAsia"/>
                <w:sz w:val="24"/>
                <w:lang w:val="en-US" w:eastAsia="zh-CN"/>
              </w:rPr>
              <w:t>2</w:t>
            </w:r>
            <w:r>
              <w:rPr>
                <w:rFonts w:hint="eastAsia"/>
                <w:sz w:val="24"/>
              </w:rPr>
              <w:t>室。</w:t>
            </w:r>
          </w:p>
          <w:p>
            <w:pPr>
              <w:widowControl/>
              <w:kinsoku w:val="0"/>
              <w:overflowPunct w:val="0"/>
              <w:spacing w:line="480" w:lineRule="exact"/>
              <w:ind w:left="102"/>
              <w:jc w:val="both"/>
              <w:rPr>
                <w:sz w:val="24"/>
                <w:lang w:val="en-US" w:eastAsia="zh-CN"/>
              </w:rPr>
            </w:pPr>
            <w:r>
              <w:rPr>
                <w:rFonts w:hint="eastAsia"/>
                <w:sz w:val="24"/>
              </w:rPr>
              <w:t>联系人：</w:t>
            </w:r>
            <w:r>
              <w:rPr>
                <w:rFonts w:hint="eastAsia"/>
                <w:sz w:val="24"/>
                <w:lang w:val="en-US" w:eastAsia="zh-CN"/>
              </w:rPr>
              <w:t>贾振</w:t>
            </w:r>
          </w:p>
          <w:p>
            <w:pPr>
              <w:kinsoku w:val="0"/>
              <w:overflowPunct w:val="0"/>
              <w:ind w:left="102"/>
              <w:jc w:val="both"/>
              <w:rPr>
                <w:sz w:val="24"/>
                <w:lang w:val="en-US" w:eastAsia="zh-CN"/>
              </w:rPr>
            </w:pPr>
            <w:r>
              <w:rPr>
                <w:rFonts w:hint="eastAsia"/>
                <w:sz w:val="24"/>
              </w:rPr>
              <w:t>电  话：</w:t>
            </w:r>
            <w:r>
              <w:rPr>
                <w:rFonts w:hint="eastAsia"/>
                <w:sz w:val="24"/>
                <w:szCs w:val="24"/>
                <w:lang w:eastAsia="zh-CN"/>
              </w:rPr>
              <w:t>0531-58185103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22" w:type="dxa"/>
            <w:vAlign w:val="center"/>
          </w:tcPr>
          <w:p>
            <w:pPr>
              <w:pStyle w:val="29"/>
              <w:kinsoku w:val="0"/>
              <w:overflowPunct w:val="0"/>
              <w:jc w:val="center"/>
              <w:rPr>
                <w:szCs w:val="24"/>
                <w:lang w:val="en-US" w:eastAsia="zh-CN"/>
              </w:rPr>
            </w:pPr>
            <w:r>
              <w:rPr>
                <w:lang w:val="en-US" w:eastAsia="zh-CN"/>
              </w:rPr>
              <w:t>1</w:t>
            </w:r>
            <w:r>
              <w:rPr>
                <w:rFonts w:hint="eastAsia"/>
                <w:lang w:val="en-US" w:eastAsia="zh-CN"/>
              </w:rPr>
              <w:t>4</w:t>
            </w:r>
          </w:p>
        </w:tc>
        <w:tc>
          <w:tcPr>
            <w:tcW w:w="9200" w:type="dxa"/>
            <w:vAlign w:val="center"/>
          </w:tcPr>
          <w:p>
            <w:pPr>
              <w:kinsoku w:val="0"/>
              <w:overflowPunct w:val="0"/>
              <w:ind w:left="102"/>
              <w:jc w:val="left"/>
              <w:rPr>
                <w:sz w:val="24"/>
              </w:rPr>
            </w:pPr>
            <w:r>
              <w:rPr>
                <w:rFonts w:hint="eastAsia"/>
                <w:sz w:val="24"/>
              </w:rPr>
              <w:t>若有疑问或须澄清的内容请联系采购代理机构。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22" w:type="dxa"/>
            <w:vAlign w:val="center"/>
          </w:tcPr>
          <w:p>
            <w:pPr>
              <w:pStyle w:val="29"/>
              <w:kinsoku w:val="0"/>
              <w:overflowPunct w:val="0"/>
              <w:jc w:val="center"/>
              <w:rPr>
                <w:rFonts w:hint="default"/>
                <w:lang w:val="en-US" w:eastAsia="zh-CN"/>
              </w:rPr>
            </w:pPr>
            <w:r>
              <w:rPr>
                <w:rFonts w:hint="eastAsia"/>
                <w:lang w:val="en-US" w:eastAsia="zh-CN"/>
              </w:rPr>
              <w:t>15</w:t>
            </w:r>
          </w:p>
        </w:tc>
        <w:tc>
          <w:tcPr>
            <w:tcW w:w="9200" w:type="dxa"/>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auto"/>
              <w:ind w:left="102"/>
              <w:jc w:val="left"/>
              <w:textAlignment w:val="auto"/>
              <w:rPr>
                <w:rFonts w:hint="eastAsia"/>
                <w:sz w:val="24"/>
              </w:rPr>
            </w:pPr>
            <w:r>
              <w:rPr>
                <w:rFonts w:hint="eastAsia"/>
                <w:sz w:val="24"/>
              </w:rPr>
              <w:t>项目报名或在采购过程中符合要求的供应商只有2家的，采购方式现场变更为竞争性磋商，采购活动继续进行；报名或在采购过程中符合要求的供应商只有1家的，采购活动按单一来源采购方式继续进行</w:t>
            </w:r>
            <w:r>
              <w:rPr>
                <w:rFonts w:hint="eastAsia"/>
                <w:sz w:val="24"/>
                <w:lang w:eastAsia="zh-CN"/>
              </w:rPr>
              <w:t>。</w:t>
            </w:r>
          </w:p>
        </w:tc>
      </w:tr>
    </w:tbl>
    <w:p>
      <w:pPr>
        <w:pStyle w:val="27"/>
        <w:rPr>
          <w:lang w:val="ja-JP" w:eastAsia="ja-JP"/>
        </w:rPr>
        <w:sectPr>
          <w:pgSz w:w="11906" w:h="16838"/>
          <w:pgMar w:top="1440" w:right="850" w:bottom="1440" w:left="850" w:header="851" w:footer="992" w:gutter="0"/>
          <w:pgNumType w:fmt="decimal"/>
          <w:cols w:space="425" w:num="1"/>
          <w:docGrid w:type="lines" w:linePitch="312" w:charSpace="0"/>
        </w:sectPr>
      </w:pPr>
    </w:p>
    <w:p>
      <w:pPr>
        <w:pStyle w:val="3"/>
        <w:rPr>
          <w:sz w:val="32"/>
          <w:szCs w:val="32"/>
        </w:rPr>
      </w:pPr>
      <w:bookmarkStart w:id="2" w:name="_Toc22120"/>
      <w:r>
        <w:rPr>
          <w:rFonts w:hint="eastAsia"/>
          <w:sz w:val="32"/>
          <w:szCs w:val="32"/>
        </w:rPr>
        <w:t>一、说明</w:t>
      </w:r>
      <w:bookmarkEnd w:id="2"/>
    </w:p>
    <w:p>
      <w:pPr>
        <w:pStyle w:val="27"/>
        <w:spacing w:after="0" w:line="480" w:lineRule="auto"/>
        <w:rPr>
          <w:rFonts w:ascii="仿宋" w:hAnsi="仿宋" w:eastAsia="仿宋" w:cs="仿宋"/>
          <w:lang w:val="ja-JP" w:eastAsia="ja-JP"/>
        </w:rPr>
      </w:pPr>
      <w:r>
        <w:rPr>
          <w:rFonts w:hint="eastAsia" w:ascii="仿宋" w:hAnsi="仿宋" w:eastAsia="仿宋" w:cs="仿宋"/>
          <w:lang w:val="ja-JP" w:eastAsia="ja-JP"/>
        </w:rPr>
        <w:t xml:space="preserve">1.定义 </w:t>
      </w:r>
    </w:p>
    <w:p>
      <w:pPr>
        <w:pStyle w:val="27"/>
        <w:spacing w:after="0" w:line="480" w:lineRule="auto"/>
        <w:rPr>
          <w:rFonts w:hint="eastAsia" w:ascii="仿宋" w:hAnsi="仿宋" w:eastAsia="仿宋" w:cs="仿宋"/>
          <w:lang w:val="ja-JP"/>
        </w:rPr>
      </w:pPr>
      <w:r>
        <w:rPr>
          <w:rFonts w:hint="eastAsia" w:ascii="仿宋" w:hAnsi="仿宋" w:eastAsia="仿宋" w:cs="仿宋"/>
          <w:lang w:val="ja-JP" w:eastAsia="ja-JP"/>
        </w:rPr>
        <w:t>1.1“采购人”系指</w:t>
      </w:r>
      <w:r>
        <w:rPr>
          <w:rFonts w:hint="eastAsia" w:ascii="仿宋" w:hAnsi="仿宋" w:eastAsia="仿宋" w:cs="仿宋"/>
          <w:lang w:val="ja-JP" w:eastAsia="zh-CN"/>
        </w:rPr>
        <w:t>中国邮政集团有限公司济南市分公司</w:t>
      </w:r>
      <w:r>
        <w:rPr>
          <w:rFonts w:hint="eastAsia" w:ascii="仿宋" w:hAnsi="仿宋" w:eastAsia="仿宋" w:cs="仿宋"/>
          <w:lang w:val="ja-JP" w:eastAsia="ja-JP"/>
        </w:rPr>
        <w:t xml:space="preserve">。 </w:t>
      </w:r>
    </w:p>
    <w:p>
      <w:pPr>
        <w:pStyle w:val="27"/>
        <w:spacing w:after="0" w:line="480" w:lineRule="auto"/>
        <w:rPr>
          <w:rFonts w:ascii="仿宋" w:hAnsi="仿宋" w:eastAsia="仿宋" w:cs="仿宋"/>
          <w:lang w:val="ja-JP" w:eastAsia="ja-JP"/>
        </w:rPr>
      </w:pPr>
      <w:r>
        <w:rPr>
          <w:rFonts w:hint="eastAsia" w:ascii="仿宋" w:hAnsi="仿宋" w:eastAsia="仿宋" w:cs="仿宋"/>
          <w:lang w:val="ja-JP" w:eastAsia="ja-JP"/>
        </w:rPr>
        <w:t>1.</w:t>
      </w:r>
      <w:r>
        <w:rPr>
          <w:rFonts w:hint="eastAsia" w:ascii="仿宋" w:hAnsi="仿宋" w:eastAsia="仿宋" w:cs="仿宋"/>
          <w:lang w:val="en-US" w:eastAsia="zh-CN"/>
        </w:rPr>
        <w:t>2</w:t>
      </w:r>
      <w:r>
        <w:rPr>
          <w:rFonts w:hint="eastAsia" w:ascii="仿宋" w:hAnsi="仿宋" w:eastAsia="仿宋" w:cs="仿宋"/>
          <w:lang w:val="ja-JP" w:eastAsia="ja-JP"/>
        </w:rPr>
        <w:t>“采购代理机构”系指山东</w:t>
      </w:r>
      <w:r>
        <w:rPr>
          <w:rFonts w:hint="eastAsia" w:ascii="仿宋" w:hAnsi="仿宋" w:eastAsia="仿宋" w:cs="仿宋"/>
        </w:rPr>
        <w:t>三誉招标代理有限公司</w:t>
      </w:r>
      <w:r>
        <w:rPr>
          <w:rFonts w:hint="eastAsia" w:ascii="仿宋" w:hAnsi="仿宋" w:eastAsia="仿宋" w:cs="仿宋"/>
          <w:lang w:val="ja-JP" w:eastAsia="ja-JP"/>
        </w:rPr>
        <w:t xml:space="preserve">。 </w:t>
      </w:r>
    </w:p>
    <w:p>
      <w:pPr>
        <w:pStyle w:val="27"/>
        <w:spacing w:after="0" w:line="480" w:lineRule="auto"/>
        <w:rPr>
          <w:rFonts w:ascii="仿宋" w:hAnsi="仿宋" w:eastAsia="仿宋" w:cs="仿宋"/>
          <w:lang w:val="ja-JP" w:eastAsia="ja-JP"/>
        </w:rPr>
      </w:pPr>
      <w:r>
        <w:rPr>
          <w:rFonts w:hint="eastAsia" w:ascii="仿宋" w:hAnsi="仿宋" w:eastAsia="仿宋" w:cs="仿宋"/>
          <w:lang w:val="ja-JP" w:eastAsia="ja-JP"/>
        </w:rPr>
        <w:t>1.</w:t>
      </w:r>
      <w:r>
        <w:rPr>
          <w:rFonts w:hint="eastAsia" w:ascii="仿宋" w:hAnsi="仿宋" w:eastAsia="仿宋" w:cs="仿宋"/>
          <w:lang w:val="en-US" w:eastAsia="zh-CN"/>
        </w:rPr>
        <w:t>3</w:t>
      </w:r>
      <w:r>
        <w:rPr>
          <w:rFonts w:hint="eastAsia" w:ascii="仿宋" w:hAnsi="仿宋" w:eastAsia="仿宋" w:cs="仿宋"/>
          <w:lang w:val="ja-JP" w:eastAsia="ja-JP"/>
        </w:rPr>
        <w:t xml:space="preserve">“磋商小组”系指根据法律、法规规定，由采购人代表和有关专家组成以确定成交供应商或推荐成交候选供应商的临时组织。 </w:t>
      </w:r>
    </w:p>
    <w:p>
      <w:pPr>
        <w:pStyle w:val="27"/>
        <w:spacing w:after="0" w:line="480" w:lineRule="auto"/>
        <w:rPr>
          <w:rFonts w:ascii="仿宋" w:hAnsi="仿宋" w:eastAsia="仿宋" w:cs="仿宋"/>
          <w:lang w:val="ja-JP" w:eastAsia="ja-JP"/>
        </w:rPr>
      </w:pPr>
      <w:r>
        <w:rPr>
          <w:rFonts w:hint="eastAsia" w:ascii="仿宋" w:hAnsi="仿宋" w:eastAsia="仿宋" w:cs="仿宋"/>
          <w:lang w:val="ja-JP" w:eastAsia="ja-JP"/>
        </w:rPr>
        <w:t>1.</w:t>
      </w:r>
      <w:r>
        <w:rPr>
          <w:rFonts w:hint="eastAsia" w:ascii="仿宋" w:hAnsi="仿宋" w:eastAsia="仿宋" w:cs="仿宋"/>
          <w:lang w:val="en-US" w:eastAsia="zh-CN"/>
        </w:rPr>
        <w:t>4</w:t>
      </w:r>
      <w:r>
        <w:rPr>
          <w:rFonts w:hint="eastAsia" w:ascii="仿宋" w:hAnsi="仿宋" w:eastAsia="仿宋" w:cs="仿宋"/>
          <w:lang w:val="ja-JP" w:eastAsia="ja-JP"/>
        </w:rPr>
        <w:t xml:space="preserve">“成交供应商”系指响应文件满足磋商文件全部实质性要求且按评审因素的量化指标评审得分最高的供应商为成交供应商，取得与采购人签订合同资格的供应商。 </w:t>
      </w:r>
    </w:p>
    <w:p>
      <w:pPr>
        <w:pStyle w:val="27"/>
        <w:spacing w:after="0" w:line="480" w:lineRule="auto"/>
        <w:rPr>
          <w:rFonts w:ascii="仿宋" w:hAnsi="仿宋" w:eastAsia="仿宋" w:cs="仿宋"/>
          <w:lang w:val="ja-JP" w:eastAsia="ja-JP"/>
        </w:rPr>
      </w:pPr>
      <w:r>
        <w:rPr>
          <w:rFonts w:hint="eastAsia" w:ascii="仿宋" w:hAnsi="仿宋" w:eastAsia="仿宋" w:cs="仿宋"/>
          <w:lang w:val="ja-JP" w:eastAsia="ja-JP"/>
        </w:rPr>
        <w:t xml:space="preserve">2.合格供应商 </w:t>
      </w:r>
    </w:p>
    <w:p>
      <w:pPr>
        <w:pStyle w:val="27"/>
        <w:spacing w:after="0" w:line="480" w:lineRule="auto"/>
        <w:rPr>
          <w:rFonts w:hint="eastAsia" w:ascii="仿宋" w:hAnsi="仿宋" w:eastAsia="仿宋" w:cs="仿宋"/>
          <w:lang w:val="ja-JP" w:eastAsia="ja-JP"/>
        </w:rPr>
      </w:pPr>
      <w:r>
        <w:rPr>
          <w:rFonts w:hint="eastAsia" w:ascii="仿宋" w:hAnsi="仿宋" w:eastAsia="仿宋" w:cs="仿宋"/>
          <w:lang w:val="en-US" w:eastAsia="zh-CN"/>
        </w:rPr>
        <w:t>2.</w:t>
      </w:r>
      <w:r>
        <w:rPr>
          <w:rFonts w:hint="eastAsia" w:ascii="仿宋" w:hAnsi="仿宋" w:eastAsia="仿宋" w:cs="仿宋"/>
          <w:lang w:val="ja-JP" w:eastAsia="ja-JP"/>
        </w:rPr>
        <w:t>1在中华人民共和国境内（港澳台除外）依法注册的，具有独立承担民事责任能力的供应商。</w:t>
      </w:r>
    </w:p>
    <w:p>
      <w:pPr>
        <w:pStyle w:val="27"/>
        <w:spacing w:after="0" w:line="480" w:lineRule="auto"/>
        <w:rPr>
          <w:rFonts w:hint="eastAsia" w:ascii="仿宋" w:hAnsi="仿宋" w:eastAsia="仿宋" w:cs="仿宋"/>
          <w:lang w:val="ja-JP" w:eastAsia="ja-JP"/>
        </w:rPr>
      </w:pPr>
      <w:r>
        <w:rPr>
          <w:rFonts w:hint="eastAsia" w:ascii="仿宋" w:hAnsi="仿宋" w:eastAsia="仿宋" w:cs="仿宋"/>
          <w:lang w:val="en-US" w:eastAsia="zh-CN"/>
        </w:rPr>
        <w:t>2.</w:t>
      </w:r>
      <w:r>
        <w:rPr>
          <w:rFonts w:hint="eastAsia" w:ascii="仿宋" w:hAnsi="仿宋" w:eastAsia="仿宋" w:cs="仿宋"/>
          <w:lang w:val="ja-JP" w:eastAsia="ja-JP"/>
        </w:rPr>
        <w:t>2具有空调维修、保养能力和相关资质。</w:t>
      </w:r>
    </w:p>
    <w:p>
      <w:pPr>
        <w:pStyle w:val="27"/>
        <w:spacing w:after="0" w:line="480" w:lineRule="auto"/>
        <w:rPr>
          <w:rFonts w:hint="eastAsia" w:ascii="仿宋" w:hAnsi="仿宋" w:eastAsia="仿宋" w:cs="仿宋"/>
          <w:lang w:val="ja-JP" w:eastAsia="ja-JP"/>
        </w:rPr>
      </w:pPr>
      <w:r>
        <w:rPr>
          <w:rFonts w:hint="eastAsia" w:ascii="仿宋" w:hAnsi="仿宋" w:eastAsia="仿宋" w:cs="仿宋"/>
          <w:lang w:val="en-US" w:eastAsia="zh-CN"/>
        </w:rPr>
        <w:t>2.</w:t>
      </w:r>
      <w:r>
        <w:rPr>
          <w:rFonts w:hint="eastAsia" w:ascii="仿宋" w:hAnsi="仿宋" w:eastAsia="仿宋" w:cs="仿宋"/>
          <w:lang w:val="ja-JP" w:eastAsia="ja-JP"/>
        </w:rPr>
        <w:t>3具有良好的商业信誉和健全的财务会计制度，有依法缴纳税收的良好记录，近三年来在经营活动中没有重大违法记录。</w:t>
      </w:r>
    </w:p>
    <w:p>
      <w:pPr>
        <w:pStyle w:val="27"/>
        <w:spacing w:after="0" w:line="480" w:lineRule="auto"/>
        <w:rPr>
          <w:rFonts w:hint="eastAsia" w:ascii="仿宋" w:hAnsi="仿宋" w:eastAsia="仿宋" w:cs="仿宋"/>
          <w:lang w:val="ja-JP" w:eastAsia="ja-JP"/>
        </w:rPr>
      </w:pPr>
      <w:r>
        <w:rPr>
          <w:rFonts w:hint="eastAsia" w:ascii="仿宋" w:hAnsi="仿宋" w:eastAsia="仿宋" w:cs="仿宋"/>
          <w:lang w:val="en-US" w:eastAsia="zh-CN"/>
        </w:rPr>
        <w:t>2.</w:t>
      </w:r>
      <w:r>
        <w:rPr>
          <w:rFonts w:hint="eastAsia" w:ascii="仿宋" w:hAnsi="仿宋" w:eastAsia="仿宋" w:cs="仿宋"/>
          <w:lang w:val="ja-JP" w:eastAsia="ja-JP"/>
        </w:rPr>
        <w:t>4本项目不接受联合体投标。</w:t>
      </w:r>
    </w:p>
    <w:p>
      <w:pPr>
        <w:pStyle w:val="27"/>
        <w:spacing w:after="0" w:line="480" w:lineRule="auto"/>
        <w:rPr>
          <w:rFonts w:hint="eastAsia" w:ascii="仿宋" w:hAnsi="仿宋" w:eastAsia="仿宋" w:cs="仿宋"/>
          <w:lang w:val="ja-JP" w:eastAsia="ja-JP"/>
        </w:rPr>
      </w:pPr>
      <w:r>
        <w:rPr>
          <w:rFonts w:hint="eastAsia" w:ascii="仿宋" w:hAnsi="仿宋" w:eastAsia="仿宋" w:cs="仿宋"/>
          <w:lang w:val="en-US" w:eastAsia="zh-CN"/>
        </w:rPr>
        <w:t>2.</w:t>
      </w:r>
      <w:r>
        <w:rPr>
          <w:rFonts w:hint="eastAsia" w:ascii="仿宋" w:hAnsi="仿宋" w:eastAsia="仿宋" w:cs="仿宋"/>
          <w:lang w:val="ja-JP" w:eastAsia="ja-JP"/>
        </w:rPr>
        <w:t>5本项目不允许转包、分包。</w:t>
      </w:r>
    </w:p>
    <w:p>
      <w:pPr>
        <w:pStyle w:val="27"/>
        <w:spacing w:after="0" w:line="480" w:lineRule="auto"/>
        <w:rPr>
          <w:rFonts w:hint="eastAsia" w:ascii="仿宋" w:hAnsi="仿宋" w:eastAsia="仿宋" w:cs="仿宋"/>
          <w:lang w:val="en-US" w:eastAsia="zh-CN"/>
        </w:rPr>
      </w:pPr>
      <w:r>
        <w:rPr>
          <w:rFonts w:hint="eastAsia" w:ascii="仿宋" w:hAnsi="仿宋" w:eastAsia="仿宋" w:cs="仿宋"/>
          <w:lang w:val="en-US" w:eastAsia="zh-CN"/>
        </w:rPr>
        <w:t>2.6</w:t>
      </w:r>
      <w:r>
        <w:rPr>
          <w:rFonts w:hint="eastAsia" w:ascii="仿宋" w:hAnsi="仿宋" w:eastAsia="仿宋" w:cs="仿宋"/>
          <w:lang w:val="ja-JP" w:eastAsia="ja-JP"/>
        </w:rPr>
        <w:t>投标单位法人或负责人为同一人或者存在控股、管理关系的不同单位，不得同时对本项目投标，否则其投标将被否决</w:t>
      </w:r>
      <w:r>
        <w:rPr>
          <w:rFonts w:hint="eastAsia" w:ascii="仿宋" w:hAnsi="仿宋" w:eastAsia="仿宋" w:cs="仿宋"/>
          <w:lang w:val="ja-JP" w:eastAsia="zh-CN"/>
        </w:rPr>
        <w:t>。</w:t>
      </w:r>
    </w:p>
    <w:p>
      <w:pPr>
        <w:pStyle w:val="27"/>
        <w:spacing w:after="0" w:line="480" w:lineRule="auto"/>
        <w:rPr>
          <w:rFonts w:ascii="仿宋" w:hAnsi="仿宋" w:eastAsia="仿宋" w:cs="仿宋"/>
          <w:lang w:val="ja-JP" w:eastAsia="ja-JP"/>
        </w:rPr>
      </w:pPr>
      <w:r>
        <w:rPr>
          <w:rFonts w:hint="eastAsia" w:ascii="仿宋" w:hAnsi="仿宋" w:eastAsia="仿宋" w:cs="仿宋"/>
          <w:lang w:val="ja-JP" w:eastAsia="ja-JP"/>
        </w:rPr>
        <w:t xml:space="preserve">3.报价费用 </w:t>
      </w:r>
    </w:p>
    <w:p>
      <w:pPr>
        <w:pStyle w:val="27"/>
        <w:spacing w:after="0" w:line="480" w:lineRule="auto"/>
        <w:rPr>
          <w:rFonts w:ascii="仿宋" w:hAnsi="仿宋" w:eastAsia="仿宋" w:cs="仿宋"/>
          <w:lang w:val="ja-JP" w:eastAsia="ja-JP"/>
        </w:rPr>
      </w:pPr>
      <w:r>
        <w:rPr>
          <w:rFonts w:hint="eastAsia" w:ascii="仿宋" w:hAnsi="仿宋" w:eastAsia="仿宋" w:cs="仿宋"/>
          <w:lang w:val="ja-JP" w:eastAsia="ja-JP"/>
        </w:rPr>
        <w:t xml:space="preserve">无论报价过程中的方法和结果如何，供应商自行承担所有与参加磋商有关的费用。 </w:t>
      </w:r>
    </w:p>
    <w:p>
      <w:pPr>
        <w:pStyle w:val="3"/>
        <w:rPr>
          <w:sz w:val="32"/>
          <w:szCs w:val="32"/>
        </w:rPr>
      </w:pPr>
      <w:bookmarkStart w:id="3" w:name="_Toc3769"/>
      <w:r>
        <w:rPr>
          <w:rFonts w:hint="eastAsia"/>
          <w:sz w:val="32"/>
          <w:szCs w:val="32"/>
        </w:rPr>
        <w:t>二、磋商文件</w:t>
      </w:r>
      <w:bookmarkEnd w:id="3"/>
    </w:p>
    <w:p>
      <w:pPr>
        <w:pStyle w:val="27"/>
        <w:spacing w:after="0" w:line="480" w:lineRule="auto"/>
        <w:rPr>
          <w:rFonts w:ascii="仿宋" w:hAnsi="仿宋" w:eastAsia="仿宋" w:cs="仿宋"/>
          <w:lang w:val="ja-JP" w:eastAsia="ja-JP"/>
        </w:rPr>
      </w:pPr>
      <w:r>
        <w:rPr>
          <w:rFonts w:hint="eastAsia" w:ascii="仿宋" w:hAnsi="仿宋" w:eastAsia="仿宋" w:cs="仿宋"/>
          <w:lang w:val="ja-JP" w:eastAsia="ja-JP"/>
        </w:rPr>
        <w:t xml:space="preserve">4.磋商文件组成 </w:t>
      </w:r>
    </w:p>
    <w:p>
      <w:pPr>
        <w:pStyle w:val="27"/>
        <w:spacing w:after="0" w:line="480" w:lineRule="auto"/>
        <w:rPr>
          <w:rFonts w:ascii="仿宋" w:hAnsi="仿宋" w:eastAsia="仿宋" w:cs="仿宋"/>
          <w:lang w:val="ja-JP" w:eastAsia="ja-JP"/>
        </w:rPr>
      </w:pPr>
      <w:r>
        <w:rPr>
          <w:rFonts w:hint="eastAsia" w:ascii="仿宋" w:hAnsi="仿宋" w:eastAsia="仿宋" w:cs="仿宋"/>
          <w:lang w:val="ja-JP" w:eastAsia="ja-JP"/>
        </w:rPr>
        <w:t xml:space="preserve">本磋商文件由磋商文件目录所列内容组成。 </w:t>
      </w:r>
    </w:p>
    <w:p>
      <w:pPr>
        <w:pStyle w:val="27"/>
        <w:spacing w:after="0" w:line="480" w:lineRule="auto"/>
        <w:rPr>
          <w:rFonts w:ascii="仿宋" w:hAnsi="仿宋" w:eastAsia="仿宋" w:cs="仿宋"/>
          <w:lang w:val="ja-JP" w:eastAsia="ja-JP"/>
        </w:rPr>
      </w:pPr>
      <w:r>
        <w:rPr>
          <w:rFonts w:hint="eastAsia" w:ascii="仿宋" w:hAnsi="仿宋" w:eastAsia="仿宋" w:cs="仿宋"/>
          <w:lang w:val="ja-JP" w:eastAsia="ja-JP"/>
        </w:rPr>
        <w:t xml:space="preserve">5.磋商文件澄清和修改 </w:t>
      </w:r>
    </w:p>
    <w:p>
      <w:pPr>
        <w:pStyle w:val="27"/>
        <w:spacing w:after="0" w:line="480" w:lineRule="auto"/>
        <w:rPr>
          <w:rFonts w:ascii="仿宋" w:hAnsi="仿宋" w:eastAsia="仿宋" w:cs="仿宋"/>
          <w:lang w:val="ja-JP" w:eastAsia="ja-JP"/>
        </w:rPr>
      </w:pPr>
      <w:r>
        <w:rPr>
          <w:rFonts w:hint="eastAsia" w:ascii="仿宋" w:hAnsi="仿宋" w:eastAsia="仿宋" w:cs="仿宋"/>
          <w:lang w:val="ja-JP" w:eastAsia="ja-JP"/>
        </w:rPr>
        <w:t xml:space="preserve">5.1 任何已登记备案并领取了磋商文件的供应商，均可要求对磋商文件进行澄清，澄清要求应在磋商文件要求提交响应文件截止时间 5 日前以书面形式通知采购代理机构，在规定时间以后提出的澄清要求将不予受理。 </w:t>
      </w:r>
    </w:p>
    <w:p>
      <w:pPr>
        <w:pStyle w:val="27"/>
        <w:spacing w:after="0" w:line="480" w:lineRule="auto"/>
        <w:rPr>
          <w:rFonts w:ascii="仿宋" w:hAnsi="仿宋" w:eastAsia="仿宋" w:cs="仿宋"/>
          <w:lang w:val="ja-JP" w:eastAsia="ja-JP"/>
        </w:rPr>
      </w:pPr>
      <w:r>
        <w:rPr>
          <w:rFonts w:hint="eastAsia" w:ascii="仿宋" w:hAnsi="仿宋" w:eastAsia="仿宋" w:cs="仿宋"/>
          <w:lang w:val="ja-JP" w:eastAsia="ja-JP"/>
        </w:rPr>
        <w:t>5.2 采购代理机构对收到的澄清要求将以书面形式或其他适当的形式予以答复，发给要</w:t>
      </w:r>
      <w:r>
        <w:rPr>
          <w:rFonts w:hint="eastAsia" w:ascii="仿宋" w:hAnsi="仿宋" w:eastAsia="仿宋" w:cs="仿宋"/>
        </w:rPr>
        <w:t xml:space="preserve">求澄清的供应商。答复中包括所提的问题，但不包括问题的来源。 </w:t>
      </w:r>
    </w:p>
    <w:p>
      <w:pPr>
        <w:pStyle w:val="27"/>
        <w:spacing w:after="0" w:line="480" w:lineRule="auto"/>
        <w:rPr>
          <w:rFonts w:ascii="仿宋" w:hAnsi="仿宋" w:eastAsia="仿宋" w:cs="仿宋"/>
          <w:lang w:val="ja-JP" w:eastAsia="ja-JP"/>
        </w:rPr>
      </w:pPr>
      <w:r>
        <w:rPr>
          <w:rFonts w:hint="eastAsia" w:ascii="仿宋" w:hAnsi="仿宋" w:eastAsia="仿宋" w:cs="仿宋"/>
        </w:rPr>
        <w:t xml:space="preserve">5.3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 5 日前，以书面形式通知所有获取磋商文件的供应商，供应商在收到该澄清文件后应于当日内，以书面形式给予确认，逾期不确认视为认同；不足 5 日的，采购人、采购代理机构应当顺延提交首次响应文件截止时间。在这种情况下，采购代理机构和供应商受报价截止期制约的所有权利和义务均相应延长至新的截止日期。 </w:t>
      </w:r>
    </w:p>
    <w:p>
      <w:pPr>
        <w:pStyle w:val="3"/>
        <w:rPr>
          <w:sz w:val="32"/>
          <w:szCs w:val="18"/>
        </w:rPr>
      </w:pPr>
      <w:bookmarkStart w:id="4" w:name="_Toc19240"/>
      <w:r>
        <w:rPr>
          <w:rFonts w:hint="eastAsia"/>
          <w:sz w:val="32"/>
          <w:szCs w:val="18"/>
          <w:lang w:val="en-US" w:eastAsia="zh-CN"/>
        </w:rPr>
        <w:t>三、响应文件编写</w:t>
      </w:r>
      <w:bookmarkEnd w:id="4"/>
    </w:p>
    <w:p>
      <w:pPr>
        <w:pStyle w:val="27"/>
        <w:spacing w:after="0" w:line="480" w:lineRule="auto"/>
        <w:rPr>
          <w:rFonts w:ascii="仿宋" w:hAnsi="仿宋" w:eastAsia="仿宋" w:cs="仿宋"/>
          <w:lang w:val="ja-JP" w:eastAsia="ja-JP"/>
        </w:rPr>
      </w:pPr>
      <w:r>
        <w:rPr>
          <w:rFonts w:hint="eastAsia" w:ascii="仿宋" w:hAnsi="仿宋" w:eastAsia="仿宋" w:cs="仿宋"/>
        </w:rPr>
        <w:t xml:space="preserve">6.报价语言及计量单位 </w:t>
      </w:r>
    </w:p>
    <w:p>
      <w:pPr>
        <w:pStyle w:val="27"/>
        <w:spacing w:after="0" w:line="480" w:lineRule="auto"/>
        <w:rPr>
          <w:rFonts w:ascii="仿宋" w:hAnsi="仿宋" w:eastAsia="仿宋" w:cs="仿宋"/>
          <w:lang w:val="ja-JP" w:eastAsia="ja-JP"/>
        </w:rPr>
      </w:pPr>
      <w:r>
        <w:rPr>
          <w:rFonts w:hint="eastAsia" w:ascii="仿宋" w:hAnsi="仿宋" w:eastAsia="仿宋" w:cs="仿宋"/>
        </w:rPr>
        <w:t xml:space="preserve">6.1 供应商提交的响应文件以及供应商与采购代理机构就有关报价的所有来往函电均应使用中文简体字。 </w:t>
      </w:r>
    </w:p>
    <w:p>
      <w:pPr>
        <w:pStyle w:val="27"/>
        <w:spacing w:after="0" w:line="480" w:lineRule="auto"/>
        <w:rPr>
          <w:rFonts w:ascii="仿宋" w:hAnsi="仿宋" w:eastAsia="仿宋" w:cs="仿宋"/>
          <w:lang w:val="ja-JP" w:eastAsia="ja-JP"/>
        </w:rPr>
      </w:pPr>
      <w:r>
        <w:rPr>
          <w:rFonts w:hint="eastAsia" w:ascii="仿宋" w:hAnsi="仿宋" w:eastAsia="仿宋" w:cs="仿宋"/>
        </w:rPr>
        <w:t xml:space="preserve">6.2 供应商所提供的技术文件和资料，包括图纸中的说明，应使用中文简体字。 </w:t>
      </w:r>
    </w:p>
    <w:p>
      <w:pPr>
        <w:pStyle w:val="27"/>
        <w:spacing w:after="0" w:line="480" w:lineRule="auto"/>
        <w:rPr>
          <w:rFonts w:ascii="仿宋" w:hAnsi="仿宋" w:eastAsia="仿宋" w:cs="仿宋"/>
          <w:lang w:val="ja-JP" w:eastAsia="ja-JP"/>
        </w:rPr>
      </w:pPr>
      <w:r>
        <w:rPr>
          <w:rFonts w:hint="eastAsia" w:ascii="仿宋" w:hAnsi="仿宋" w:eastAsia="仿宋" w:cs="仿宋"/>
        </w:rPr>
        <w:t xml:space="preserve">6.3 原版为外文的证书类文件，以及由外国人做出的本人签名、外国公司的名称或外国 印章等可以是外文，但采购代理机构可以要求供应商提供翻译文件，必要时可以要求提供附有公证（见证）书的翻译文件。 </w:t>
      </w:r>
    </w:p>
    <w:p>
      <w:pPr>
        <w:pStyle w:val="27"/>
        <w:spacing w:after="0" w:line="480" w:lineRule="auto"/>
        <w:rPr>
          <w:rFonts w:ascii="仿宋" w:hAnsi="仿宋" w:eastAsia="仿宋" w:cs="仿宋"/>
          <w:lang w:val="ja-JP" w:eastAsia="ja-JP"/>
        </w:rPr>
      </w:pPr>
      <w:r>
        <w:rPr>
          <w:rFonts w:hint="eastAsia" w:ascii="仿宋" w:hAnsi="仿宋" w:eastAsia="仿宋" w:cs="仿宋"/>
        </w:rPr>
        <w:t xml:space="preserve">6.4 除磋商文件的技术规格中另有规定外，响应文件中所使用的计量单位应使用中华人民共和国法定计量单位。 </w:t>
      </w:r>
    </w:p>
    <w:p>
      <w:pPr>
        <w:pStyle w:val="27"/>
        <w:spacing w:after="0" w:line="480" w:lineRule="auto"/>
        <w:rPr>
          <w:rFonts w:ascii="仿宋" w:hAnsi="仿宋" w:eastAsia="仿宋" w:cs="仿宋"/>
          <w:lang w:val="ja-JP" w:eastAsia="ja-JP"/>
        </w:rPr>
      </w:pPr>
      <w:r>
        <w:rPr>
          <w:rFonts w:hint="eastAsia" w:ascii="仿宋" w:hAnsi="仿宋" w:eastAsia="仿宋" w:cs="仿宋"/>
        </w:rPr>
        <w:t xml:space="preserve">6.5 对违反上述规定情形的，磋商小组有权要求其限期提供加盖公章的翻译文件或取消其报价资格。 </w:t>
      </w:r>
    </w:p>
    <w:p>
      <w:pPr>
        <w:pStyle w:val="27"/>
        <w:spacing w:after="0" w:line="480" w:lineRule="auto"/>
        <w:rPr>
          <w:rFonts w:ascii="仿宋" w:hAnsi="仿宋" w:eastAsia="仿宋" w:cs="仿宋"/>
          <w:color w:val="0000FF"/>
        </w:rPr>
      </w:pPr>
      <w:r>
        <w:rPr>
          <w:rFonts w:hint="eastAsia" w:ascii="仿宋" w:hAnsi="仿宋" w:eastAsia="仿宋" w:cs="仿宋"/>
          <w:b/>
          <w:bCs/>
          <w:color w:val="0000FF"/>
        </w:rPr>
        <w:t>7.响应文件组成</w:t>
      </w:r>
    </w:p>
    <w:p>
      <w:pPr>
        <w:pStyle w:val="27"/>
        <w:spacing w:after="0" w:line="480" w:lineRule="auto"/>
        <w:rPr>
          <w:rFonts w:ascii="仿宋" w:hAnsi="仿宋" w:eastAsia="仿宋" w:cs="仿宋"/>
          <w:b/>
          <w:bCs/>
          <w:color w:val="0000FF"/>
          <w:lang w:val="ja-JP" w:eastAsia="ja-JP"/>
        </w:rPr>
      </w:pPr>
      <w:r>
        <w:rPr>
          <w:rFonts w:hint="eastAsia" w:ascii="仿宋" w:hAnsi="仿宋" w:eastAsia="仿宋" w:cs="仿宋"/>
          <w:b/>
          <w:bCs/>
          <w:color w:val="0000FF"/>
          <w:lang w:val="ja-JP" w:eastAsia="ja-JP"/>
        </w:rPr>
        <w:t xml:space="preserve">响应文件由报价函部分、资格审查部分、商务部分、技术部分四部分组成。 </w:t>
      </w:r>
    </w:p>
    <w:p>
      <w:pPr>
        <w:pStyle w:val="27"/>
        <w:spacing w:after="0" w:line="480" w:lineRule="auto"/>
        <w:rPr>
          <w:rFonts w:ascii="仿宋" w:hAnsi="仿宋" w:eastAsia="仿宋" w:cs="仿宋"/>
          <w:b/>
          <w:bCs/>
          <w:color w:val="0000FF"/>
        </w:rPr>
      </w:pPr>
      <w:r>
        <w:rPr>
          <w:rFonts w:hint="eastAsia" w:ascii="仿宋" w:hAnsi="仿宋" w:eastAsia="仿宋" w:cs="仿宋"/>
          <w:b/>
          <w:bCs/>
          <w:color w:val="0000FF"/>
        </w:rPr>
        <w:t xml:space="preserve">7.1 </w:t>
      </w:r>
      <w:r>
        <w:rPr>
          <w:rFonts w:hint="eastAsia" w:ascii="仿宋" w:hAnsi="仿宋" w:eastAsia="仿宋" w:cs="仿宋"/>
          <w:b/>
          <w:bCs/>
          <w:color w:val="0000FF"/>
          <w:lang w:val="ja-JP" w:eastAsia="ja-JP"/>
        </w:rPr>
        <w:t>报价函部分</w:t>
      </w:r>
    </w:p>
    <w:p>
      <w:pPr>
        <w:pStyle w:val="27"/>
        <w:spacing w:after="0" w:line="480" w:lineRule="auto"/>
        <w:rPr>
          <w:rFonts w:ascii="仿宋" w:hAnsi="仿宋" w:eastAsia="仿宋" w:cs="仿宋"/>
          <w:color w:val="0000FF"/>
        </w:rPr>
      </w:pPr>
      <w:r>
        <w:rPr>
          <w:rFonts w:hint="eastAsia" w:ascii="仿宋" w:hAnsi="仿宋" w:eastAsia="仿宋" w:cs="仿宋"/>
          <w:color w:val="0000FF"/>
        </w:rPr>
        <w:t>1）报价函 （详见附件）</w:t>
      </w:r>
    </w:p>
    <w:p>
      <w:pPr>
        <w:pStyle w:val="27"/>
        <w:spacing w:after="0" w:line="480" w:lineRule="auto"/>
        <w:rPr>
          <w:rFonts w:hint="eastAsia" w:ascii="仿宋" w:hAnsi="仿宋" w:eastAsia="仿宋" w:cs="仿宋"/>
          <w:color w:val="0000FF"/>
        </w:rPr>
      </w:pPr>
      <w:r>
        <w:rPr>
          <w:rFonts w:hint="eastAsia" w:ascii="仿宋" w:hAnsi="仿宋" w:eastAsia="仿宋" w:cs="仿宋"/>
          <w:color w:val="0000FF"/>
        </w:rPr>
        <w:t xml:space="preserve">2) 报价一览表； </w:t>
      </w:r>
    </w:p>
    <w:p>
      <w:pPr>
        <w:pStyle w:val="27"/>
        <w:spacing w:after="0" w:line="480" w:lineRule="auto"/>
        <w:rPr>
          <w:rFonts w:hint="eastAsia" w:ascii="仿宋" w:hAnsi="仿宋" w:eastAsia="仿宋" w:cs="仿宋"/>
          <w:color w:val="0000FF"/>
          <w:lang w:eastAsia="zh-CN"/>
        </w:rPr>
      </w:pPr>
      <w:r>
        <w:rPr>
          <w:rFonts w:hint="eastAsia" w:ascii="仿宋" w:hAnsi="仿宋" w:eastAsia="仿宋" w:cs="仿宋"/>
          <w:color w:val="0000FF"/>
          <w:lang w:val="en-US" w:eastAsia="zh-CN"/>
        </w:rPr>
        <w:t>3）</w:t>
      </w:r>
      <w:r>
        <w:rPr>
          <w:rFonts w:hint="eastAsia" w:ascii="仿宋" w:hAnsi="仿宋" w:eastAsia="仿宋" w:cs="仿宋"/>
          <w:color w:val="0000FF"/>
        </w:rPr>
        <w:t>分项报价明细表</w:t>
      </w:r>
      <w:r>
        <w:rPr>
          <w:rFonts w:hint="eastAsia" w:ascii="仿宋" w:hAnsi="仿宋" w:eastAsia="仿宋" w:cs="仿宋"/>
          <w:color w:val="0000FF"/>
          <w:lang w:eastAsia="zh-CN"/>
        </w:rPr>
        <w:t>；</w:t>
      </w:r>
    </w:p>
    <w:p>
      <w:pPr>
        <w:pStyle w:val="27"/>
        <w:spacing w:after="0" w:line="480" w:lineRule="auto"/>
        <w:rPr>
          <w:rFonts w:ascii="仿宋" w:hAnsi="仿宋" w:eastAsia="仿宋" w:cs="仿宋"/>
          <w:color w:val="0000FF"/>
          <w:lang w:eastAsia="ja-JP"/>
        </w:rPr>
      </w:pPr>
      <w:r>
        <w:rPr>
          <w:rFonts w:hint="eastAsia" w:ascii="仿宋" w:hAnsi="仿宋" w:eastAsia="仿宋" w:cs="仿宋"/>
          <w:color w:val="0000FF"/>
          <w:lang w:val="en-US" w:eastAsia="zh-CN"/>
        </w:rPr>
        <w:t>4</w:t>
      </w:r>
      <w:r>
        <w:rPr>
          <w:rFonts w:hint="eastAsia" w:ascii="仿宋" w:hAnsi="仿宋" w:eastAsia="仿宋" w:cs="仿宋"/>
          <w:color w:val="0000FF"/>
        </w:rPr>
        <w:t>）供应商认为需要提供的其他表格及资料。</w:t>
      </w:r>
    </w:p>
    <w:p>
      <w:pPr>
        <w:pStyle w:val="27"/>
        <w:spacing w:after="0" w:line="480" w:lineRule="auto"/>
        <w:rPr>
          <w:rFonts w:ascii="仿宋" w:hAnsi="仿宋" w:eastAsia="仿宋" w:cs="仿宋"/>
          <w:b/>
          <w:bCs/>
          <w:lang w:val="ja-JP" w:eastAsia="ja-JP"/>
        </w:rPr>
      </w:pPr>
      <w:r>
        <w:rPr>
          <w:rFonts w:hint="eastAsia" w:ascii="仿宋" w:hAnsi="仿宋" w:eastAsia="仿宋" w:cs="仿宋"/>
          <w:b/>
          <w:bCs/>
        </w:rPr>
        <w:t xml:space="preserve">7.2 </w:t>
      </w:r>
      <w:r>
        <w:rPr>
          <w:rFonts w:hint="eastAsia" w:ascii="仿宋" w:hAnsi="仿宋" w:eastAsia="仿宋" w:cs="仿宋"/>
          <w:b/>
          <w:bCs/>
          <w:lang w:val="ja-JP" w:eastAsia="ja-JP"/>
        </w:rPr>
        <w:t>资格审查部分</w:t>
      </w:r>
    </w:p>
    <w:p>
      <w:pPr>
        <w:pStyle w:val="27"/>
        <w:spacing w:after="0" w:line="480" w:lineRule="auto"/>
        <w:rPr>
          <w:rFonts w:hint="eastAsia" w:ascii="仿宋" w:hAnsi="仿宋" w:eastAsia="仿宋" w:cs="仿宋"/>
          <w:color w:val="auto"/>
        </w:rPr>
      </w:pPr>
      <w:r>
        <w:rPr>
          <w:rFonts w:hint="eastAsia" w:ascii="仿宋" w:hAnsi="仿宋" w:eastAsia="仿宋" w:cs="仿宋"/>
          <w:color w:val="auto"/>
        </w:rPr>
        <w:t>1) 营业执照副本复印件（加盖公章）；</w:t>
      </w:r>
    </w:p>
    <w:p>
      <w:pPr>
        <w:pStyle w:val="27"/>
        <w:spacing w:after="0" w:line="480" w:lineRule="auto"/>
        <w:rPr>
          <w:rFonts w:hint="eastAsia" w:ascii="仿宋" w:hAnsi="仿宋" w:eastAsia="仿宋" w:cs="仿宋"/>
          <w:color w:val="auto"/>
        </w:rPr>
      </w:pPr>
      <w:r>
        <w:rPr>
          <w:rFonts w:hint="eastAsia" w:ascii="仿宋" w:hAnsi="仿宋" w:eastAsia="仿宋" w:cs="仿宋"/>
          <w:color w:val="auto"/>
        </w:rPr>
        <w:t>2）法定代表人授权委托书原件、授权代表身份证复印件（法定代表人亲自参加投标的须提供身份证复印件）（加盖公章）；</w:t>
      </w:r>
    </w:p>
    <w:p>
      <w:pPr>
        <w:pStyle w:val="27"/>
        <w:spacing w:after="0" w:line="480" w:lineRule="auto"/>
        <w:rPr>
          <w:rFonts w:hint="eastAsia" w:ascii="仿宋" w:hAnsi="仿宋" w:eastAsia="仿宋"/>
          <w:color w:val="auto"/>
          <w:sz w:val="24"/>
          <w:szCs w:val="22"/>
          <w:highlight w:val="none"/>
        </w:rPr>
      </w:pPr>
      <w:r>
        <w:rPr>
          <w:rFonts w:hint="eastAsia" w:ascii="仿宋" w:hAnsi="仿宋" w:eastAsia="仿宋"/>
          <w:color w:val="auto"/>
          <w:sz w:val="24"/>
          <w:szCs w:val="22"/>
          <w:highlight w:val="none"/>
          <w:lang w:val="en-US" w:eastAsia="zh-CN"/>
        </w:rPr>
        <w:t>3</w:t>
      </w:r>
      <w:r>
        <w:rPr>
          <w:rFonts w:hint="eastAsia" w:ascii="仿宋" w:hAnsi="仿宋" w:eastAsia="仿宋"/>
          <w:color w:val="auto"/>
          <w:sz w:val="24"/>
          <w:szCs w:val="22"/>
          <w:highlight w:val="none"/>
        </w:rPr>
        <w:t>）</w:t>
      </w:r>
      <w:r>
        <w:rPr>
          <w:rFonts w:hint="eastAsia" w:ascii="仿宋" w:hAnsi="仿宋" w:eastAsia="仿宋" w:cs="仿宋"/>
          <w:color w:val="auto"/>
          <w:highlight w:val="none"/>
          <w:lang w:val="en-US" w:eastAsia="zh-CN"/>
        </w:rPr>
        <w:t>财务状况</w:t>
      </w:r>
      <w:r>
        <w:rPr>
          <w:rFonts w:hint="eastAsia" w:ascii="仿宋" w:hAnsi="仿宋" w:eastAsia="仿宋"/>
          <w:color w:val="auto"/>
          <w:sz w:val="24"/>
          <w:szCs w:val="22"/>
          <w:highlight w:val="none"/>
        </w:rPr>
        <w:t>：</w:t>
      </w:r>
      <w:r>
        <w:rPr>
          <w:rFonts w:hint="eastAsia" w:ascii="仿宋" w:hAnsi="仿宋" w:eastAsia="仿宋"/>
          <w:color w:val="auto"/>
          <w:sz w:val="24"/>
          <w:szCs w:val="22"/>
          <w:highlight w:val="none"/>
          <w:lang w:val="en-US" w:eastAsia="zh-CN"/>
        </w:rPr>
        <w:t>近三年（2018年、2019年、2020年）任意一年的</w:t>
      </w:r>
      <w:r>
        <w:rPr>
          <w:rFonts w:hint="eastAsia" w:ascii="仿宋" w:hAnsi="仿宋" w:eastAsia="仿宋"/>
          <w:color w:val="auto"/>
          <w:sz w:val="24"/>
          <w:szCs w:val="22"/>
          <w:highlight w:val="none"/>
        </w:rPr>
        <w:t>财务报告复印件（加盖公章）或者基本开户银行出具</w:t>
      </w:r>
      <w:r>
        <w:rPr>
          <w:rFonts w:hint="eastAsia" w:ascii="仿宋" w:hAnsi="仿宋" w:eastAsia="仿宋"/>
          <w:color w:val="auto"/>
          <w:sz w:val="24"/>
          <w:szCs w:val="22"/>
          <w:highlight w:val="none"/>
          <w:lang w:val="en-US" w:eastAsia="zh-CN"/>
        </w:rPr>
        <w:t>有效期内</w:t>
      </w:r>
      <w:r>
        <w:rPr>
          <w:rFonts w:hint="eastAsia" w:ascii="仿宋" w:hAnsi="仿宋" w:eastAsia="仿宋"/>
          <w:color w:val="auto"/>
          <w:sz w:val="24"/>
          <w:szCs w:val="22"/>
          <w:highlight w:val="none"/>
        </w:rPr>
        <w:t>的资信证明复印件（加盖公章）；</w:t>
      </w:r>
    </w:p>
    <w:p>
      <w:pPr>
        <w:pStyle w:val="27"/>
        <w:spacing w:after="0" w:line="480" w:lineRule="auto"/>
        <w:rPr>
          <w:rFonts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 xml:space="preserve">）投标主体信用记录（加盖公章）：根据财库（2016）125 号文的规定，各供应商需通过“信用中国”网站（www.creditchina.gov.cn）或中国政府采购网（www.ccgp.gov.cn）查询投标主体信用记录，并打印网站查询结果的截图。对列入失信被执行人、重大税收违法案件当事人名单、政府采购严重违法失信行为记录名单的单位拒绝其参与采购活动； </w:t>
      </w:r>
    </w:p>
    <w:p>
      <w:pPr>
        <w:pStyle w:val="27"/>
        <w:spacing w:after="0" w:line="480" w:lineRule="auto"/>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 xml:space="preserve">）近三年内，在经营活动中没有重大违法记录的声明。 </w:t>
      </w:r>
    </w:p>
    <w:p>
      <w:pPr>
        <w:pStyle w:val="12"/>
        <w:spacing w:line="480" w:lineRule="exact"/>
        <w:ind w:left="0" w:leftChars="0" w:firstLine="0" w:firstLineChars="0"/>
        <w:rPr>
          <w:rFonts w:ascii="仿宋" w:hAnsi="仿宋" w:eastAsia="仿宋"/>
          <w:b/>
          <w:bCs/>
          <w:sz w:val="24"/>
          <w:szCs w:val="22"/>
          <w14:textFill>
            <w14:gradFill>
              <w14:gsLst>
                <w14:gs w14:pos="0">
                  <w14:srgbClr w14:val="FE4444"/>
                </w14:gs>
                <w14:gs w14:pos="100000">
                  <w14:srgbClr w14:val="832B2B"/>
                </w14:gs>
              </w14:gsLst>
              <w14:lin w14:scaled="0"/>
            </w14:gradFill>
          </w14:textFill>
        </w:rPr>
      </w:pPr>
      <w:r>
        <w:rPr>
          <w:rFonts w:hint="eastAsia" w:ascii="仿宋" w:hAnsi="仿宋" w:eastAsia="仿宋"/>
          <w:b/>
          <w:bCs/>
          <w:sz w:val="24"/>
          <w:szCs w:val="22"/>
          <w14:textFill>
            <w14:gradFill>
              <w14:gsLst>
                <w14:gs w14:pos="0">
                  <w14:srgbClr w14:val="FE4444"/>
                </w14:gs>
                <w14:gs w14:pos="100000">
                  <w14:srgbClr w14:val="832B2B"/>
                </w14:gs>
              </w14:gsLst>
              <w14:lin w14:scaled="0"/>
            </w14:gradFill>
          </w14:textFill>
        </w:rPr>
        <w:t>注：以上</w:t>
      </w:r>
      <w:r>
        <w:rPr>
          <w:rFonts w:hint="eastAsia" w:ascii="仿宋" w:hAnsi="仿宋" w:eastAsia="仿宋"/>
          <w:b/>
          <w:bCs/>
          <w:sz w:val="24"/>
          <w:szCs w:val="22"/>
          <w:lang w:val="en-US" w:eastAsia="zh-CN"/>
          <w14:textFill>
            <w14:gradFill>
              <w14:gsLst>
                <w14:gs w14:pos="0">
                  <w14:srgbClr w14:val="FE4444"/>
                </w14:gs>
                <w14:gs w14:pos="100000">
                  <w14:srgbClr w14:val="832B2B"/>
                </w14:gs>
              </w14:gsLst>
              <w14:lin w14:scaled="0"/>
            </w14:gradFill>
          </w14:textFill>
        </w:rPr>
        <w:t>5</w:t>
      </w:r>
      <w:r>
        <w:rPr>
          <w:rFonts w:hint="eastAsia" w:ascii="仿宋" w:hAnsi="仿宋" w:eastAsia="仿宋"/>
          <w:b/>
          <w:bCs/>
          <w:sz w:val="24"/>
          <w:szCs w:val="22"/>
          <w14:textFill>
            <w14:gradFill>
              <w14:gsLst>
                <w14:gs w14:pos="0">
                  <w14:srgbClr w14:val="FE4444"/>
                </w14:gs>
                <w14:gs w14:pos="100000">
                  <w14:srgbClr w14:val="832B2B"/>
                </w14:gs>
              </w14:gsLst>
              <w14:lin w14:scaled="0"/>
            </w14:gradFill>
          </w14:textFill>
        </w:rPr>
        <w:t>项为必备条件，若发现材料不全、不符合要求或有不实之处，按无效响应文件处理。</w:t>
      </w:r>
    </w:p>
    <w:p>
      <w:pPr>
        <w:pStyle w:val="27"/>
        <w:spacing w:after="0" w:line="480" w:lineRule="auto"/>
        <w:rPr>
          <w:rFonts w:ascii="仿宋" w:hAnsi="仿宋" w:eastAsia="仿宋" w:cs="仿宋"/>
          <w:b/>
          <w:bCs/>
          <w:highlight w:val="yellow"/>
        </w:rPr>
      </w:pPr>
      <w:r>
        <w:rPr>
          <w:rFonts w:hint="eastAsia" w:ascii="仿宋" w:hAnsi="仿宋" w:eastAsia="仿宋" w:cs="仿宋"/>
          <w:b/>
          <w:bCs/>
          <w:highlight w:val="yellow"/>
        </w:rPr>
        <w:t xml:space="preserve"> 7.3 商务部分</w:t>
      </w:r>
    </w:p>
    <w:p>
      <w:pPr>
        <w:pStyle w:val="27"/>
        <w:spacing w:after="0" w:line="480" w:lineRule="auto"/>
        <w:rPr>
          <w:rFonts w:hint="eastAsia" w:ascii="仿宋" w:hAnsi="仿宋" w:eastAsia="仿宋" w:cs="仿宋"/>
          <w:highlight w:val="yellow"/>
        </w:rPr>
      </w:pPr>
      <w:r>
        <w:rPr>
          <w:rFonts w:hint="eastAsia" w:ascii="仿宋" w:hAnsi="仿宋" w:eastAsia="仿宋" w:cs="仿宋"/>
          <w:highlight w:val="yellow"/>
        </w:rPr>
        <w:t>1）公司简介；</w:t>
      </w:r>
    </w:p>
    <w:p>
      <w:pPr>
        <w:pStyle w:val="27"/>
        <w:spacing w:after="0" w:line="480" w:lineRule="auto"/>
        <w:rPr>
          <w:rFonts w:hint="eastAsia" w:ascii="仿宋" w:hAnsi="仿宋" w:eastAsia="仿宋" w:cs="仿宋"/>
          <w:highlight w:val="yellow"/>
          <w:lang w:val="en-US" w:eastAsia="zh-CN"/>
        </w:rPr>
      </w:pPr>
      <w:r>
        <w:rPr>
          <w:rFonts w:hint="eastAsia" w:ascii="仿宋" w:hAnsi="仿宋" w:eastAsia="仿宋" w:cs="仿宋"/>
          <w:highlight w:val="yellow"/>
          <w:lang w:val="en-US" w:eastAsia="zh-CN"/>
        </w:rPr>
        <w:t>2）财务状况；</w:t>
      </w:r>
    </w:p>
    <w:p>
      <w:pPr>
        <w:pStyle w:val="27"/>
        <w:spacing w:after="0" w:line="480" w:lineRule="auto"/>
        <w:rPr>
          <w:rFonts w:hint="eastAsia" w:ascii="仿宋" w:hAnsi="仿宋" w:eastAsia="仿宋" w:cs="仿宋"/>
          <w:highlight w:val="yellow"/>
        </w:rPr>
      </w:pPr>
      <w:r>
        <w:rPr>
          <w:rFonts w:hint="eastAsia" w:ascii="仿宋" w:hAnsi="仿宋" w:eastAsia="仿宋" w:cs="仿宋"/>
          <w:highlight w:val="yellow"/>
        </w:rPr>
        <w:t>3）管理服务人员配置；</w:t>
      </w:r>
    </w:p>
    <w:p>
      <w:pPr>
        <w:pStyle w:val="27"/>
        <w:spacing w:after="0" w:line="480" w:lineRule="auto"/>
        <w:rPr>
          <w:rFonts w:hint="eastAsia" w:ascii="仿宋" w:hAnsi="仿宋" w:eastAsia="仿宋" w:cs="仿宋"/>
          <w:highlight w:val="yellow"/>
        </w:rPr>
      </w:pPr>
      <w:r>
        <w:rPr>
          <w:rFonts w:hint="eastAsia" w:ascii="仿宋" w:hAnsi="仿宋" w:eastAsia="仿宋" w:cs="仿宋"/>
          <w:highlight w:val="yellow"/>
        </w:rPr>
        <w:t>4）工作流程安全与人员管理；</w:t>
      </w:r>
    </w:p>
    <w:p>
      <w:pPr>
        <w:pStyle w:val="27"/>
        <w:spacing w:after="0" w:line="480" w:lineRule="auto"/>
        <w:rPr>
          <w:rFonts w:hint="default" w:ascii="仿宋" w:hAnsi="仿宋" w:eastAsia="仿宋" w:cs="仿宋"/>
          <w:highlight w:val="yellow"/>
          <w:lang w:val="en-US" w:eastAsia="zh-CN"/>
        </w:rPr>
      </w:pPr>
      <w:r>
        <w:rPr>
          <w:rFonts w:hint="eastAsia" w:ascii="仿宋" w:hAnsi="仿宋" w:eastAsia="仿宋" w:cs="仿宋"/>
          <w:highlight w:val="yellow"/>
          <w:lang w:val="en-US" w:eastAsia="zh-CN"/>
        </w:rPr>
        <w:t>5</w:t>
      </w:r>
      <w:r>
        <w:rPr>
          <w:rFonts w:hint="eastAsia" w:ascii="仿宋" w:hAnsi="仿宋" w:eastAsia="仿宋" w:cs="仿宋"/>
          <w:highlight w:val="yellow"/>
          <w:lang w:eastAsia="zh-CN"/>
        </w:rPr>
        <w:t>）</w:t>
      </w:r>
      <w:r>
        <w:rPr>
          <w:rFonts w:hint="eastAsia" w:ascii="仿宋" w:hAnsi="仿宋" w:eastAsia="仿宋" w:cs="仿宋"/>
          <w:highlight w:val="yellow"/>
          <w:lang w:val="en-US" w:eastAsia="zh-CN"/>
        </w:rPr>
        <w:t>优惠条件；</w:t>
      </w:r>
    </w:p>
    <w:p>
      <w:pPr>
        <w:pStyle w:val="27"/>
        <w:spacing w:after="0" w:line="480" w:lineRule="auto"/>
        <w:rPr>
          <w:rFonts w:ascii="仿宋" w:hAnsi="仿宋" w:eastAsia="仿宋" w:cs="仿宋"/>
          <w:highlight w:val="yellow"/>
        </w:rPr>
      </w:pPr>
      <w:r>
        <w:rPr>
          <w:rFonts w:hint="eastAsia" w:ascii="仿宋" w:hAnsi="仿宋" w:eastAsia="仿宋" w:cs="仿宋"/>
          <w:highlight w:val="yellow"/>
        </w:rPr>
        <w:t xml:space="preserve">5）供应商认为需加以说明的其他内容。 </w:t>
      </w:r>
      <w:bookmarkStart w:id="32" w:name="_GoBack"/>
      <w:bookmarkEnd w:id="32"/>
    </w:p>
    <w:p>
      <w:pPr>
        <w:pStyle w:val="27"/>
        <w:spacing w:after="0" w:line="480" w:lineRule="auto"/>
        <w:rPr>
          <w:rFonts w:ascii="仿宋" w:hAnsi="仿宋" w:eastAsia="仿宋" w:cs="仿宋"/>
          <w:b/>
          <w:bCs/>
          <w:highlight w:val="yellow"/>
        </w:rPr>
      </w:pPr>
      <w:r>
        <w:rPr>
          <w:rFonts w:hint="eastAsia" w:ascii="仿宋" w:hAnsi="仿宋" w:eastAsia="仿宋" w:cs="仿宋"/>
          <w:b/>
          <w:bCs/>
          <w:highlight w:val="yellow"/>
        </w:rPr>
        <w:t xml:space="preserve">7.4 技术部分 </w:t>
      </w:r>
    </w:p>
    <w:p>
      <w:pPr>
        <w:pStyle w:val="27"/>
        <w:spacing w:after="0" w:line="480" w:lineRule="auto"/>
        <w:rPr>
          <w:rFonts w:hint="eastAsia" w:ascii="仿宋" w:hAnsi="仿宋" w:eastAsia="仿宋" w:cs="仿宋"/>
          <w:highlight w:val="yellow"/>
        </w:rPr>
      </w:pPr>
      <w:r>
        <w:rPr>
          <w:rFonts w:hint="eastAsia" w:ascii="仿宋" w:hAnsi="仿宋" w:eastAsia="仿宋" w:cs="仿宋"/>
          <w:highlight w:val="yellow"/>
        </w:rPr>
        <w:t>1）针对本项目的服务方案；</w:t>
      </w:r>
    </w:p>
    <w:p>
      <w:pPr>
        <w:pStyle w:val="27"/>
        <w:spacing w:after="0" w:line="480" w:lineRule="auto"/>
        <w:rPr>
          <w:rFonts w:hint="eastAsia" w:ascii="仿宋" w:hAnsi="仿宋" w:eastAsia="仿宋" w:cs="仿宋"/>
          <w:highlight w:val="yellow"/>
        </w:rPr>
      </w:pPr>
      <w:r>
        <w:rPr>
          <w:rFonts w:hint="eastAsia" w:ascii="仿宋" w:hAnsi="仿宋" w:eastAsia="仿宋" w:cs="仿宋"/>
          <w:highlight w:val="yellow"/>
        </w:rPr>
        <w:t>2）施工组织实施方案；</w:t>
      </w:r>
    </w:p>
    <w:p>
      <w:pPr>
        <w:pStyle w:val="27"/>
        <w:spacing w:after="0" w:line="480" w:lineRule="auto"/>
        <w:rPr>
          <w:rFonts w:hint="eastAsia" w:ascii="仿宋" w:hAnsi="仿宋" w:eastAsia="仿宋" w:cs="仿宋"/>
          <w:highlight w:val="yellow"/>
        </w:rPr>
      </w:pPr>
      <w:r>
        <w:rPr>
          <w:rFonts w:hint="eastAsia" w:ascii="仿宋" w:hAnsi="仿宋" w:eastAsia="仿宋" w:cs="仿宋"/>
          <w:highlight w:val="yellow"/>
        </w:rPr>
        <w:t>3）售后服务的内容和措施；</w:t>
      </w:r>
    </w:p>
    <w:p>
      <w:pPr>
        <w:pStyle w:val="27"/>
        <w:spacing w:after="0" w:line="480" w:lineRule="auto"/>
        <w:rPr>
          <w:rFonts w:hint="eastAsia" w:ascii="仿宋" w:hAnsi="仿宋" w:eastAsia="仿宋" w:cs="仿宋"/>
          <w:highlight w:val="yellow"/>
        </w:rPr>
      </w:pPr>
      <w:r>
        <w:rPr>
          <w:rFonts w:hint="eastAsia" w:ascii="仿宋" w:hAnsi="仿宋" w:eastAsia="仿宋" w:cs="仿宋"/>
          <w:highlight w:val="yellow"/>
        </w:rPr>
        <w:t>4）服务要求偏离表；</w:t>
      </w:r>
    </w:p>
    <w:p>
      <w:pPr>
        <w:pStyle w:val="27"/>
        <w:spacing w:after="0" w:line="480" w:lineRule="auto"/>
        <w:rPr>
          <w:rFonts w:ascii="仿宋" w:hAnsi="仿宋" w:eastAsia="仿宋" w:cs="仿宋"/>
          <w:highlight w:val="yellow"/>
        </w:rPr>
      </w:pPr>
      <w:r>
        <w:rPr>
          <w:rFonts w:hint="eastAsia" w:ascii="仿宋" w:hAnsi="仿宋" w:eastAsia="仿宋" w:cs="仿宋"/>
          <w:highlight w:val="yellow"/>
        </w:rPr>
        <w:t xml:space="preserve">5）其他。 </w:t>
      </w:r>
    </w:p>
    <w:p>
      <w:pPr>
        <w:pStyle w:val="27"/>
        <w:spacing w:after="0" w:line="480" w:lineRule="auto"/>
        <w:rPr>
          <w:rFonts w:ascii="仿宋" w:hAnsi="仿宋" w:eastAsia="仿宋" w:cs="仿宋"/>
          <w:highlight w:val="yellow"/>
        </w:rPr>
      </w:pPr>
      <w:r>
        <w:rPr>
          <w:rFonts w:hint="eastAsia" w:ascii="仿宋" w:hAnsi="仿宋" w:eastAsia="仿宋" w:cs="仿宋"/>
          <w:highlight w:val="yellow"/>
        </w:rPr>
        <w:t xml:space="preserve">8.响应文件装订 </w:t>
      </w:r>
    </w:p>
    <w:p>
      <w:pPr>
        <w:pStyle w:val="27"/>
        <w:spacing w:after="0" w:line="480" w:lineRule="auto"/>
        <w:rPr>
          <w:rFonts w:ascii="仿宋" w:hAnsi="仿宋" w:eastAsia="仿宋" w:cs="仿宋"/>
          <w:highlight w:val="yellow"/>
        </w:rPr>
      </w:pPr>
      <w:r>
        <w:rPr>
          <w:rFonts w:hint="eastAsia" w:ascii="仿宋" w:hAnsi="仿宋" w:eastAsia="仿宋" w:cs="仿宋"/>
          <w:highlight w:val="yellow"/>
        </w:rPr>
        <w:t xml:space="preserve">8.1 供应商必须将响应文件（正本、副本）中的有关文件按上述顺序排列装订成册，并在首页编制“响应文件目录”。 </w:t>
      </w:r>
    </w:p>
    <w:p>
      <w:pPr>
        <w:pStyle w:val="27"/>
        <w:spacing w:after="0" w:line="480" w:lineRule="auto"/>
        <w:rPr>
          <w:rFonts w:ascii="仿宋" w:hAnsi="仿宋" w:eastAsia="仿宋" w:cs="仿宋"/>
          <w:highlight w:val="yellow"/>
        </w:rPr>
      </w:pPr>
      <w:r>
        <w:rPr>
          <w:rFonts w:hint="eastAsia" w:ascii="仿宋" w:hAnsi="仿宋" w:eastAsia="仿宋" w:cs="仿宋"/>
          <w:highlight w:val="yellow"/>
        </w:rPr>
        <w:t xml:space="preserve">8.2 各供应商编制评分目录。 </w:t>
      </w:r>
    </w:p>
    <w:p>
      <w:pPr>
        <w:pStyle w:val="27"/>
        <w:spacing w:after="0" w:line="480" w:lineRule="auto"/>
        <w:rPr>
          <w:rFonts w:ascii="仿宋" w:hAnsi="仿宋" w:eastAsia="仿宋" w:cs="仿宋"/>
          <w:highlight w:val="yellow"/>
        </w:rPr>
      </w:pPr>
      <w:r>
        <w:rPr>
          <w:rFonts w:hint="eastAsia" w:ascii="仿宋" w:hAnsi="仿宋" w:eastAsia="仿宋" w:cs="仿宋"/>
          <w:highlight w:val="yellow"/>
        </w:rPr>
        <w:t xml:space="preserve">8.3 装订方式：胶装。 </w:t>
      </w:r>
    </w:p>
    <w:p>
      <w:pPr>
        <w:pStyle w:val="27"/>
        <w:spacing w:after="0" w:line="480" w:lineRule="auto"/>
        <w:rPr>
          <w:rFonts w:ascii="仿宋" w:hAnsi="仿宋" w:eastAsia="仿宋" w:cs="仿宋"/>
          <w:b/>
          <w:bCs/>
        </w:rPr>
      </w:pPr>
      <w:r>
        <w:rPr>
          <w:rFonts w:hint="eastAsia" w:ascii="仿宋" w:hAnsi="仿宋" w:eastAsia="仿宋" w:cs="仿宋"/>
          <w:b/>
          <w:bCs/>
        </w:rPr>
        <w:t xml:space="preserve">9.报价 </w:t>
      </w:r>
    </w:p>
    <w:p>
      <w:pPr>
        <w:pStyle w:val="27"/>
        <w:spacing w:after="0" w:line="480" w:lineRule="auto"/>
        <w:rPr>
          <w:rFonts w:ascii="仿宋" w:hAnsi="仿宋" w:eastAsia="仿宋" w:cs="仿宋"/>
          <w:b/>
          <w:bCs/>
        </w:rPr>
      </w:pPr>
      <w:r>
        <w:rPr>
          <w:rFonts w:hint="eastAsia" w:ascii="仿宋" w:hAnsi="仿宋" w:eastAsia="仿宋" w:cs="仿宋"/>
          <w:b/>
          <w:bCs/>
        </w:rPr>
        <w:t>9.1 本次报价非一次性报价。</w:t>
      </w:r>
      <w:r>
        <w:rPr>
          <w:rFonts w:hint="eastAsia" w:ascii="仿宋" w:hAnsi="仿宋" w:eastAsia="仿宋" w:cs="仿宋"/>
          <w:b/>
          <w:bCs/>
          <w:highlight w:val="yellow"/>
        </w:rPr>
        <w:t xml:space="preserve">在磋商后根据磋商小组的要求再次报价。 </w:t>
      </w:r>
    </w:p>
    <w:p>
      <w:pPr>
        <w:pStyle w:val="27"/>
        <w:spacing w:after="0" w:line="480" w:lineRule="auto"/>
        <w:rPr>
          <w:rFonts w:ascii="仿宋" w:hAnsi="仿宋" w:eastAsia="仿宋" w:cs="仿宋"/>
          <w:b/>
          <w:bCs/>
        </w:rPr>
      </w:pPr>
      <w:r>
        <w:rPr>
          <w:rFonts w:hint="eastAsia" w:ascii="仿宋" w:hAnsi="仿宋" w:eastAsia="仿宋" w:cs="仿宋"/>
          <w:b/>
          <w:bCs/>
        </w:rPr>
        <w:t xml:space="preserve">9.2 报价币种为：人民币。 </w:t>
      </w:r>
    </w:p>
    <w:p>
      <w:pPr>
        <w:pStyle w:val="27"/>
        <w:spacing w:after="0" w:line="480" w:lineRule="auto"/>
        <w:rPr>
          <w:rFonts w:ascii="仿宋" w:hAnsi="仿宋" w:eastAsia="仿宋" w:cs="仿宋"/>
          <w:b/>
          <w:bCs/>
        </w:rPr>
      </w:pPr>
      <w:r>
        <w:rPr>
          <w:rFonts w:hint="eastAsia" w:ascii="仿宋" w:hAnsi="仿宋" w:eastAsia="仿宋" w:cs="仿宋"/>
          <w:b/>
          <w:bCs/>
        </w:rPr>
        <w:t>9.3 报价要求:</w:t>
      </w:r>
    </w:p>
    <w:p>
      <w:pPr>
        <w:pStyle w:val="27"/>
        <w:spacing w:after="0" w:line="480" w:lineRule="auto"/>
        <w:rPr>
          <w:rFonts w:hint="default" w:ascii="仿宋" w:hAnsi="仿宋" w:eastAsia="仿宋" w:cs="仿宋"/>
          <w:b/>
          <w:bCs/>
          <w:color w:val="000000"/>
          <w:spacing w:val="-3"/>
          <w:sz w:val="24"/>
          <w:szCs w:val="24"/>
          <w:highlight w:val="none"/>
          <w:lang w:val="en-US" w:eastAsia="zh-CN" w:bidi="ar-SA"/>
        </w:rPr>
      </w:pPr>
      <w:r>
        <w:rPr>
          <w:rFonts w:hint="eastAsia" w:ascii="仿宋" w:hAnsi="仿宋" w:eastAsia="仿宋" w:cs="仿宋"/>
          <w:b/>
          <w:bCs/>
          <w:highlight w:val="none"/>
        </w:rPr>
        <w:t>1、供应商应结合市场及企业自身情况，合理报价。报价中应包括</w:t>
      </w:r>
      <w:r>
        <w:rPr>
          <w:rFonts w:hint="eastAsia" w:ascii="仿宋" w:hAnsi="仿宋" w:eastAsia="仿宋" w:cs="仿宋"/>
          <w:b/>
          <w:bCs/>
          <w:highlight w:val="none"/>
          <w:lang w:val="en-US" w:eastAsia="zh-CN"/>
        </w:rPr>
        <w:t>但不限于</w:t>
      </w:r>
      <w:r>
        <w:rPr>
          <w:rFonts w:hint="eastAsia" w:ascii="仿宋" w:hAnsi="仿宋" w:eastAsia="仿宋" w:cs="仿宋"/>
          <w:b/>
          <w:bCs/>
          <w:highlight w:val="none"/>
        </w:rPr>
        <w:t>完成本项目所需的</w:t>
      </w:r>
      <w:r>
        <w:rPr>
          <w:rFonts w:hint="eastAsia" w:ascii="仿宋" w:hAnsi="仿宋" w:eastAsia="仿宋" w:cs="仿宋"/>
          <w:b/>
          <w:bCs/>
          <w:highlight w:val="none"/>
          <w:lang w:val="en-US" w:eastAsia="zh-CN"/>
        </w:rPr>
        <w:t>人工费、设备使用费、材料费、管理费、</w:t>
      </w:r>
      <w:r>
        <w:rPr>
          <w:rFonts w:hint="eastAsia" w:ascii="仿宋" w:hAnsi="仿宋" w:eastAsia="仿宋" w:cs="仿宋"/>
          <w:b/>
          <w:bCs/>
          <w:highlight w:val="yellow"/>
          <w:lang w:val="en-US" w:eastAsia="zh-CN"/>
        </w:rPr>
        <w:t>招标代理费、</w:t>
      </w:r>
      <w:r>
        <w:rPr>
          <w:rFonts w:hint="eastAsia" w:ascii="仿宋" w:hAnsi="仿宋" w:eastAsia="仿宋" w:cs="仿宋"/>
          <w:b/>
          <w:bCs/>
          <w:highlight w:val="none"/>
          <w:lang w:val="en-US" w:eastAsia="zh-CN"/>
        </w:rPr>
        <w:t>税金、利润等其它一切费用，且报价应综合考虑采购范围内全部工作内容、服务承诺及不可预见风险等费用。</w:t>
      </w:r>
    </w:p>
    <w:p>
      <w:pPr>
        <w:pStyle w:val="27"/>
        <w:spacing w:after="0" w:line="480" w:lineRule="auto"/>
        <w:rPr>
          <w:rFonts w:ascii="仿宋" w:hAnsi="仿宋" w:eastAsia="仿宋" w:cs="仿宋"/>
        </w:rPr>
      </w:pPr>
      <w:r>
        <w:rPr>
          <w:rFonts w:hint="eastAsia" w:ascii="仿宋" w:hAnsi="仿宋" w:eastAsia="仿宋" w:cs="仿宋"/>
        </w:rPr>
        <w:t xml:space="preserve">2、不接受可选择的报价方案和报价，任何有选择的或可调整的报价方案和报价将被视为非响应性报价而被拒绝。 </w:t>
      </w:r>
    </w:p>
    <w:p>
      <w:pPr>
        <w:pStyle w:val="27"/>
        <w:spacing w:after="0" w:line="480" w:lineRule="auto"/>
        <w:rPr>
          <w:rFonts w:ascii="仿宋" w:hAnsi="仿宋" w:eastAsia="仿宋" w:cs="仿宋"/>
        </w:rPr>
      </w:pPr>
      <w:r>
        <w:rPr>
          <w:rFonts w:hint="eastAsia" w:ascii="仿宋" w:hAnsi="仿宋" w:eastAsia="仿宋" w:cs="仿宋"/>
        </w:rPr>
        <w:t>9.4 供应商对报价若有说明应在报价一览表备注处注明。磋商小组不接受可选择的报价方案和价格。任何有选择的或可调整的报价方案和价格将被视为非响应性报价而被拒绝；</w:t>
      </w:r>
    </w:p>
    <w:p>
      <w:pPr>
        <w:pStyle w:val="27"/>
        <w:spacing w:after="0" w:line="480" w:lineRule="auto"/>
        <w:rPr>
          <w:rFonts w:ascii="仿宋" w:hAnsi="仿宋" w:eastAsia="仿宋" w:cs="仿宋"/>
        </w:rPr>
      </w:pPr>
      <w:r>
        <w:rPr>
          <w:rFonts w:hint="eastAsia" w:ascii="仿宋" w:hAnsi="仿宋" w:eastAsia="仿宋" w:cs="仿宋"/>
        </w:rPr>
        <w:t xml:space="preserve">9.5 最终报价在合同执行过程中是固定不变的，不得以任何理由予以变更； </w:t>
      </w:r>
    </w:p>
    <w:p>
      <w:pPr>
        <w:pStyle w:val="27"/>
        <w:spacing w:after="0" w:line="480" w:lineRule="auto"/>
        <w:rPr>
          <w:rFonts w:ascii="仿宋" w:hAnsi="仿宋" w:eastAsia="仿宋" w:cs="仿宋"/>
        </w:rPr>
      </w:pPr>
      <w:r>
        <w:rPr>
          <w:rFonts w:hint="eastAsia" w:ascii="仿宋" w:hAnsi="仿宋" w:eastAsia="仿宋" w:cs="仿宋"/>
        </w:rPr>
        <w:t>9.6 供应商免费提供的项目，应先填写该项目的实际价格，并注明免费。此项不计入总报价；</w:t>
      </w:r>
    </w:p>
    <w:p>
      <w:pPr>
        <w:pStyle w:val="27"/>
        <w:spacing w:after="0" w:line="480" w:lineRule="auto"/>
        <w:rPr>
          <w:rFonts w:ascii="仿宋" w:hAnsi="仿宋" w:eastAsia="仿宋" w:cs="仿宋"/>
        </w:rPr>
      </w:pPr>
      <w:r>
        <w:rPr>
          <w:rFonts w:hint="eastAsia" w:ascii="仿宋" w:hAnsi="仿宋" w:eastAsia="仿宋" w:cs="仿宋"/>
        </w:rPr>
        <w:t xml:space="preserve">9.7 磋商过程中如对磋商文件有实质性变动的，采购代理机构将书面通知所有参与磋商的供应商，供应商据此进行再次报价； </w:t>
      </w:r>
    </w:p>
    <w:p>
      <w:pPr>
        <w:pStyle w:val="27"/>
        <w:spacing w:after="0" w:line="480" w:lineRule="auto"/>
        <w:rPr>
          <w:rFonts w:ascii="仿宋" w:hAnsi="仿宋" w:eastAsia="仿宋" w:cs="仿宋"/>
        </w:rPr>
      </w:pPr>
      <w:r>
        <w:rPr>
          <w:rFonts w:hint="eastAsia" w:ascii="仿宋" w:hAnsi="仿宋" w:eastAsia="仿宋" w:cs="仿宋"/>
        </w:rPr>
        <w:t>9.8 对总报价进行调整时，单价按相应比例浮动，单价浮动后所采用产品的品牌、质量等级不得变更。否则采购人有权取消成交供应商的成交资格，因此所造成的损失由成交供应商承担；</w:t>
      </w:r>
    </w:p>
    <w:p>
      <w:pPr>
        <w:pStyle w:val="27"/>
        <w:spacing w:after="0" w:line="480" w:lineRule="auto"/>
        <w:rPr>
          <w:rFonts w:ascii="仿宋" w:hAnsi="仿宋" w:eastAsia="仿宋" w:cs="仿宋"/>
        </w:rPr>
      </w:pPr>
      <w:r>
        <w:rPr>
          <w:rFonts w:hint="eastAsia" w:ascii="仿宋" w:hAnsi="仿宋" w:eastAsia="仿宋" w:cs="仿宋"/>
        </w:rPr>
        <w:t xml:space="preserve">9.9 最终报价，总报价为供应商成交后为完成合同规定的全部工作需支付的一切费用； </w:t>
      </w:r>
    </w:p>
    <w:p>
      <w:pPr>
        <w:pStyle w:val="27"/>
        <w:spacing w:after="0" w:line="480" w:lineRule="auto"/>
        <w:rPr>
          <w:rFonts w:ascii="仿宋" w:hAnsi="仿宋" w:eastAsia="仿宋" w:cs="仿宋"/>
        </w:rPr>
      </w:pPr>
      <w:r>
        <w:rPr>
          <w:rFonts w:hint="eastAsia" w:ascii="仿宋" w:hAnsi="仿宋" w:eastAsia="仿宋" w:cs="仿宋"/>
        </w:rPr>
        <w:t xml:space="preserve">9.10 最终报价，分项单价在合同执行过程中不因市场变化因素而变动。 </w:t>
      </w:r>
    </w:p>
    <w:p>
      <w:pPr>
        <w:pStyle w:val="27"/>
        <w:spacing w:after="0" w:line="480" w:lineRule="auto"/>
        <w:rPr>
          <w:rFonts w:ascii="仿宋" w:hAnsi="仿宋" w:eastAsia="仿宋" w:cs="仿宋"/>
        </w:rPr>
      </w:pPr>
      <w:r>
        <w:rPr>
          <w:rFonts w:hint="eastAsia" w:ascii="仿宋" w:hAnsi="仿宋" w:eastAsia="仿宋" w:cs="仿宋"/>
        </w:rPr>
        <w:t xml:space="preserve">9.11 开启时，大写金额和小写金额不一致的，以大写金额为准；总价金额与按照单价汇总金额不一致的，以单价金额计算结果为准；单价金额小数点有明显错位的，应以总价为准，并修改单价；对不同文字文本响应文件的解释发生异议的，以中文文本为准； </w:t>
      </w:r>
    </w:p>
    <w:p>
      <w:pPr>
        <w:pStyle w:val="27"/>
        <w:spacing w:after="0" w:line="480" w:lineRule="auto"/>
        <w:rPr>
          <w:rFonts w:ascii="仿宋" w:hAnsi="仿宋" w:eastAsia="仿宋" w:cs="仿宋"/>
        </w:rPr>
      </w:pPr>
      <w:r>
        <w:rPr>
          <w:rFonts w:hint="eastAsia" w:ascii="仿宋" w:hAnsi="仿宋" w:eastAsia="仿宋" w:cs="仿宋"/>
        </w:rPr>
        <w:t xml:space="preserve">按照以上原则对错误报价的修正，供应商应签字确认。若供应商拒绝修正投标报价的，其投标无效。 </w:t>
      </w:r>
    </w:p>
    <w:p>
      <w:pPr>
        <w:pStyle w:val="27"/>
        <w:spacing w:after="0" w:line="480" w:lineRule="auto"/>
        <w:rPr>
          <w:rFonts w:ascii="仿宋" w:hAnsi="仿宋" w:eastAsia="仿宋" w:cs="仿宋"/>
        </w:rPr>
      </w:pPr>
      <w:r>
        <w:rPr>
          <w:rFonts w:hint="eastAsia" w:ascii="仿宋" w:hAnsi="仿宋" w:eastAsia="仿宋" w:cs="仿宋"/>
        </w:rPr>
        <w:t xml:space="preserve">10.响应文件编写方式 </w:t>
      </w:r>
    </w:p>
    <w:p>
      <w:pPr>
        <w:pStyle w:val="27"/>
        <w:spacing w:after="0" w:line="480" w:lineRule="auto"/>
        <w:rPr>
          <w:rFonts w:ascii="仿宋" w:hAnsi="仿宋" w:eastAsia="仿宋" w:cs="仿宋"/>
        </w:rPr>
      </w:pPr>
      <w:r>
        <w:rPr>
          <w:rFonts w:hint="eastAsia" w:ascii="仿宋" w:hAnsi="仿宋" w:eastAsia="仿宋" w:cs="仿宋"/>
        </w:rPr>
        <w:t xml:space="preserve">10.1 供应商必须将响应文件（一份正本、三份副本）中的有关文件按上述顺序排列装订成册，并在首页编制“响应文件目录”。 </w:t>
      </w:r>
    </w:p>
    <w:p>
      <w:pPr>
        <w:pStyle w:val="27"/>
        <w:spacing w:after="0" w:line="480" w:lineRule="auto"/>
      </w:pPr>
      <w:r>
        <w:rPr>
          <w:rFonts w:hint="eastAsia" w:ascii="仿宋" w:hAnsi="仿宋" w:eastAsia="仿宋" w:cs="仿宋"/>
        </w:rPr>
        <w:t>10.2 供应商应准备四份响应文件，一份正本和三份副本以及单独密封的报价一览表三份。在每一份响应文件上要注明“正本”或“副本”字样。供应商应保证响应文件正本与副本的内容严格一致，如果正本与副本不一致，以正本为准；如果单独密封的报价一览表与响应文件正本有差异，以报价一览表为准；响应文件中的报价一览表与响应文件中明细表内容不一致的，以报价一览表为准；三份报价一览表不一致的，按无效报价处理。</w:t>
      </w:r>
    </w:p>
    <w:p>
      <w:pPr>
        <w:pStyle w:val="27"/>
        <w:spacing w:after="0" w:line="480" w:lineRule="auto"/>
        <w:rPr>
          <w:rFonts w:ascii="仿宋" w:hAnsi="仿宋" w:eastAsia="仿宋" w:cs="仿宋"/>
        </w:rPr>
      </w:pPr>
      <w:r>
        <w:rPr>
          <w:rFonts w:hint="eastAsia" w:ascii="仿宋" w:hAnsi="仿宋" w:eastAsia="仿宋" w:cs="仿宋"/>
        </w:rPr>
        <w:t>10.</w:t>
      </w:r>
      <w:r>
        <w:rPr>
          <w:rFonts w:hint="eastAsia" w:ascii="仿宋" w:hAnsi="仿宋" w:eastAsia="仿宋" w:cs="仿宋"/>
          <w:lang w:val="en-US" w:eastAsia="zh-CN"/>
        </w:rPr>
        <w:t xml:space="preserve">3 </w:t>
      </w:r>
      <w:r>
        <w:rPr>
          <w:rFonts w:hint="eastAsia" w:ascii="仿宋" w:hAnsi="仿宋" w:eastAsia="仿宋" w:cs="仿宋"/>
        </w:rPr>
        <w:t xml:space="preserve">响应文件正本和副本用 A4 幅面的纸张打印。 </w:t>
      </w:r>
    </w:p>
    <w:p>
      <w:pPr>
        <w:pStyle w:val="27"/>
        <w:spacing w:after="0" w:line="480" w:lineRule="auto"/>
        <w:rPr>
          <w:rFonts w:ascii="仿宋" w:hAnsi="仿宋" w:eastAsia="仿宋" w:cs="仿宋"/>
        </w:rPr>
      </w:pPr>
      <w:r>
        <w:rPr>
          <w:rFonts w:hint="eastAsia" w:ascii="仿宋" w:hAnsi="仿宋" w:eastAsia="仿宋" w:cs="仿宋"/>
        </w:rPr>
        <w:t>10.</w:t>
      </w:r>
      <w:r>
        <w:rPr>
          <w:rFonts w:hint="eastAsia" w:ascii="仿宋" w:hAnsi="仿宋" w:eastAsia="仿宋" w:cs="仿宋"/>
          <w:lang w:val="en-US" w:eastAsia="zh-CN"/>
        </w:rPr>
        <w:t>4</w:t>
      </w:r>
      <w:r>
        <w:rPr>
          <w:rFonts w:hint="eastAsia" w:ascii="仿宋" w:hAnsi="仿宋" w:eastAsia="仿宋" w:cs="仿宋"/>
        </w:rPr>
        <w:t xml:space="preserve"> 响应文件应严格按照磋商文件的要求提交，并按规定的统一格式逐项填写，不准有空项；无相应内容可填的项应填写“无”、“没有相应指标”等明确的回答文字。响应文件未按规定提交或留有空项，将被视为不完整响应的磋商文件，其报价有可能被拒绝。 </w:t>
      </w:r>
    </w:p>
    <w:p>
      <w:pPr>
        <w:pStyle w:val="27"/>
        <w:spacing w:after="0" w:line="480" w:lineRule="auto"/>
        <w:rPr>
          <w:rFonts w:ascii="仿宋" w:hAnsi="仿宋" w:eastAsia="仿宋" w:cs="仿宋"/>
        </w:rPr>
      </w:pPr>
      <w:r>
        <w:rPr>
          <w:rFonts w:hint="eastAsia" w:ascii="仿宋" w:hAnsi="仿宋" w:eastAsia="仿宋" w:cs="仿宋"/>
        </w:rPr>
        <w:t>10.</w:t>
      </w:r>
      <w:r>
        <w:rPr>
          <w:rFonts w:hint="eastAsia" w:ascii="仿宋" w:hAnsi="仿宋" w:eastAsia="仿宋" w:cs="仿宋"/>
          <w:lang w:val="en-US" w:eastAsia="zh-CN"/>
        </w:rPr>
        <w:t>5</w:t>
      </w:r>
      <w:r>
        <w:rPr>
          <w:rFonts w:hint="eastAsia" w:ascii="仿宋" w:hAnsi="仿宋" w:eastAsia="仿宋" w:cs="仿宋"/>
        </w:rPr>
        <w:t xml:space="preserve"> 因响应文件字迹潦草、模糊或表达不清所引起的不利后果由供应商承担。 </w:t>
      </w:r>
    </w:p>
    <w:p>
      <w:pPr>
        <w:pStyle w:val="27"/>
        <w:spacing w:after="0" w:line="480" w:lineRule="auto"/>
        <w:rPr>
          <w:rFonts w:ascii="仿宋" w:hAnsi="仿宋" w:eastAsia="仿宋" w:cs="仿宋"/>
        </w:rPr>
      </w:pPr>
      <w:r>
        <w:rPr>
          <w:rFonts w:hint="eastAsia" w:ascii="仿宋" w:hAnsi="仿宋" w:eastAsia="仿宋" w:cs="仿宋"/>
        </w:rPr>
        <w:t xml:space="preserve">11.响应文件签署 </w:t>
      </w:r>
    </w:p>
    <w:p>
      <w:pPr>
        <w:pStyle w:val="27"/>
        <w:spacing w:after="0" w:line="480" w:lineRule="auto"/>
        <w:rPr>
          <w:rFonts w:ascii="仿宋" w:hAnsi="仿宋" w:eastAsia="仿宋" w:cs="仿宋"/>
        </w:rPr>
      </w:pPr>
      <w:r>
        <w:rPr>
          <w:rFonts w:hint="eastAsia" w:ascii="仿宋" w:hAnsi="仿宋" w:eastAsia="仿宋" w:cs="仿宋"/>
        </w:rPr>
        <w:t xml:space="preserve">11.1 法定代表人或授权代理人必须按磋商文件的规定在响应文件（正本、副本及各附件）、报价一览表上签字并加盖供应商单位公章，不得使用其它形式如带有“投标专用章”等字样的印章，否则报价将被视为无效。如供应商对响应文件进行了修改，则须由供应商的法定代表人或授权代理人在修改的每一页上签字或加盖公章。 </w:t>
      </w:r>
    </w:p>
    <w:p>
      <w:pPr>
        <w:pStyle w:val="27"/>
        <w:spacing w:after="0" w:line="480" w:lineRule="auto"/>
        <w:rPr>
          <w:rFonts w:ascii="仿宋" w:hAnsi="仿宋" w:eastAsia="仿宋" w:cs="仿宋"/>
        </w:rPr>
      </w:pPr>
      <w:r>
        <w:rPr>
          <w:rFonts w:hint="eastAsia" w:ascii="仿宋" w:hAnsi="仿宋" w:eastAsia="仿宋" w:cs="仿宋"/>
        </w:rPr>
        <w:t xml:space="preserve">11.2 任何行间插字、涂改和增删，必须由供应商的法定代表人或授权代理人签字或加盖公章后才有效。 </w:t>
      </w:r>
    </w:p>
    <w:p>
      <w:pPr>
        <w:pStyle w:val="27"/>
        <w:spacing w:after="0" w:line="480" w:lineRule="auto"/>
        <w:rPr>
          <w:rFonts w:ascii="仿宋" w:hAnsi="仿宋" w:eastAsia="仿宋" w:cs="仿宋"/>
          <w:color w:val="auto"/>
          <w:highlight w:val="yellow"/>
        </w:rPr>
      </w:pPr>
      <w:r>
        <w:rPr>
          <w:rFonts w:hint="eastAsia" w:ascii="仿宋" w:hAnsi="仿宋" w:eastAsia="仿宋" w:cs="仿宋"/>
          <w:highlight w:val="yellow"/>
        </w:rPr>
        <w:t>1</w:t>
      </w:r>
      <w:r>
        <w:rPr>
          <w:rFonts w:hint="eastAsia" w:ascii="仿宋" w:hAnsi="仿宋" w:eastAsia="仿宋" w:cs="仿宋"/>
          <w:color w:val="auto"/>
          <w:highlight w:val="yellow"/>
        </w:rPr>
        <w:t xml:space="preserve">2.响应文件密封和标记 </w:t>
      </w:r>
    </w:p>
    <w:p>
      <w:pPr>
        <w:pStyle w:val="27"/>
        <w:spacing w:after="0" w:line="480" w:lineRule="auto"/>
        <w:rPr>
          <w:rFonts w:ascii="仿宋" w:hAnsi="仿宋" w:eastAsia="仿宋" w:cs="仿宋"/>
          <w:color w:val="auto"/>
          <w:highlight w:val="yellow"/>
        </w:rPr>
      </w:pPr>
      <w:r>
        <w:rPr>
          <w:rFonts w:hint="eastAsia" w:ascii="仿宋" w:hAnsi="仿宋" w:eastAsia="仿宋" w:cs="仿宋"/>
          <w:color w:val="auto"/>
          <w:highlight w:val="yellow"/>
        </w:rPr>
        <w:t xml:space="preserve">12.1 供应商应将响应文件正、副本密封送达，并在封面明显处注明以下内容（密封件格式见附件九）： </w:t>
      </w:r>
    </w:p>
    <w:p>
      <w:pPr>
        <w:pStyle w:val="27"/>
        <w:spacing w:after="0" w:line="480" w:lineRule="auto"/>
        <w:rPr>
          <w:rFonts w:ascii="仿宋" w:hAnsi="仿宋" w:eastAsia="仿宋" w:cs="仿宋"/>
          <w:color w:val="auto"/>
          <w:highlight w:val="yellow"/>
        </w:rPr>
      </w:pPr>
      <w:r>
        <w:rPr>
          <w:rFonts w:hint="eastAsia" w:ascii="仿宋" w:hAnsi="仿宋" w:eastAsia="仿宋" w:cs="仿宋"/>
          <w:color w:val="auto"/>
          <w:highlight w:val="yellow"/>
        </w:rPr>
        <w:t xml:space="preserve">1) 项目编号、项目名称。 </w:t>
      </w:r>
    </w:p>
    <w:p>
      <w:pPr>
        <w:pStyle w:val="27"/>
        <w:spacing w:after="0" w:line="480" w:lineRule="auto"/>
        <w:rPr>
          <w:rFonts w:ascii="仿宋" w:hAnsi="仿宋" w:eastAsia="仿宋" w:cs="仿宋"/>
          <w:color w:val="auto"/>
          <w:highlight w:val="yellow"/>
        </w:rPr>
      </w:pPr>
      <w:r>
        <w:rPr>
          <w:rFonts w:hint="eastAsia" w:ascii="仿宋" w:hAnsi="仿宋" w:eastAsia="仿宋" w:cs="仿宋"/>
          <w:color w:val="auto"/>
          <w:highlight w:val="yellow"/>
        </w:rPr>
        <w:t xml:space="preserve">2) 供应商名称（加盖公章）、地址、邮编、电话、传真。 </w:t>
      </w:r>
    </w:p>
    <w:p>
      <w:pPr>
        <w:pStyle w:val="27"/>
        <w:spacing w:after="0" w:line="480" w:lineRule="auto"/>
        <w:rPr>
          <w:rFonts w:ascii="仿宋" w:hAnsi="仿宋" w:eastAsia="仿宋" w:cs="仿宋"/>
          <w:highlight w:val="yellow"/>
        </w:rPr>
      </w:pPr>
      <w:r>
        <w:rPr>
          <w:rFonts w:hint="eastAsia" w:ascii="仿宋" w:hAnsi="仿宋" w:eastAsia="仿宋" w:cs="仿宋"/>
          <w:highlight w:val="yellow"/>
        </w:rPr>
        <w:t xml:space="preserve">12.2 为方便公开唱价，请供应商将三份“报价一览表”单独密封，并注明报价一览表，项目名称、项目编号、供应商名称（加盖公章），与响应文件同时提交。 </w:t>
      </w:r>
    </w:p>
    <w:p>
      <w:pPr>
        <w:pStyle w:val="27"/>
        <w:spacing w:after="0" w:line="480" w:lineRule="auto"/>
        <w:rPr>
          <w:rFonts w:ascii="仿宋" w:hAnsi="仿宋" w:eastAsia="仿宋" w:cs="仿宋"/>
          <w:highlight w:val="yellow"/>
        </w:rPr>
      </w:pPr>
      <w:r>
        <w:rPr>
          <w:rFonts w:hint="eastAsia" w:ascii="仿宋" w:hAnsi="仿宋" w:eastAsia="仿宋" w:cs="仿宋"/>
          <w:highlight w:val="yellow"/>
        </w:rPr>
        <w:t xml:space="preserve">12.3 每一密封件在封口处加盖供应商公章并注明“于 年 月 日 时之前不准 启封”字样。 </w:t>
      </w:r>
    </w:p>
    <w:p>
      <w:pPr>
        <w:pStyle w:val="27"/>
        <w:keepNext w:val="0"/>
        <w:keepLines w:val="0"/>
        <w:pageBreakBefore w:val="0"/>
        <w:widowControl/>
        <w:kinsoku/>
        <w:wordWrap/>
        <w:overflowPunct/>
        <w:topLinePunct w:val="0"/>
        <w:autoSpaceDE/>
        <w:autoSpaceDN/>
        <w:bidi w:val="0"/>
        <w:adjustRightInd/>
        <w:snapToGrid/>
        <w:spacing w:after="0" w:line="480" w:lineRule="auto"/>
        <w:textAlignment w:val="auto"/>
        <w:rPr>
          <w:rFonts w:ascii="仿宋" w:hAnsi="仿宋" w:eastAsia="仿宋" w:cs="仿宋"/>
        </w:rPr>
      </w:pPr>
      <w:r>
        <w:rPr>
          <w:rFonts w:hint="eastAsia" w:ascii="仿宋" w:hAnsi="仿宋" w:eastAsia="仿宋" w:cs="仿宋"/>
        </w:rPr>
        <w:t>12.4 如果供应商未按上述要求对响应文件密封及加写标记，采购代理机构对供应商提前启封概不负责。对由此造成提前开封的响应文件，采购代理机构有权予以拒绝，并退回供应商。</w:t>
      </w:r>
    </w:p>
    <w:p>
      <w:pPr>
        <w:pStyle w:val="27"/>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仿宋" w:hAnsi="仿宋" w:eastAsia="仿宋" w:cs="仿宋"/>
          <w:lang w:val="en-US" w:eastAsia="zh-CN"/>
        </w:rPr>
      </w:pPr>
      <w:r>
        <w:rPr>
          <w:rFonts w:hint="eastAsia" w:ascii="仿宋" w:hAnsi="仿宋" w:eastAsia="仿宋" w:cs="仿宋"/>
        </w:rPr>
        <w:t>13.</w:t>
      </w:r>
      <w:r>
        <w:rPr>
          <w:rFonts w:hint="eastAsia" w:ascii="仿宋" w:hAnsi="仿宋" w:eastAsia="仿宋" w:cs="仿宋"/>
          <w:lang w:val="en-US" w:eastAsia="zh-CN"/>
        </w:rPr>
        <w:t>磋商</w:t>
      </w:r>
      <w:r>
        <w:rPr>
          <w:rFonts w:hint="eastAsia" w:ascii="仿宋" w:hAnsi="仿宋" w:eastAsia="仿宋" w:cs="仿宋"/>
        </w:rPr>
        <w:t xml:space="preserve">保证金 </w:t>
      </w:r>
      <w:r>
        <w:rPr>
          <w:rFonts w:hint="eastAsia" w:ascii="仿宋" w:hAnsi="仿宋" w:eastAsia="仿宋" w:cs="仿宋"/>
          <w:lang w:val="en-US" w:eastAsia="zh-CN"/>
        </w:rPr>
        <w:t>详见供应商须知前附表</w:t>
      </w:r>
    </w:p>
    <w:p>
      <w:pPr>
        <w:pStyle w:val="27"/>
        <w:keepNext w:val="0"/>
        <w:keepLines w:val="0"/>
        <w:pageBreakBefore w:val="0"/>
        <w:widowControl/>
        <w:kinsoku/>
        <w:wordWrap/>
        <w:overflowPunct/>
        <w:topLinePunct w:val="0"/>
        <w:autoSpaceDE/>
        <w:autoSpaceDN/>
        <w:bidi w:val="0"/>
        <w:adjustRightInd/>
        <w:snapToGrid/>
        <w:spacing w:after="0" w:line="480" w:lineRule="auto"/>
        <w:textAlignment w:val="auto"/>
        <w:rPr>
          <w:rFonts w:ascii="仿宋" w:hAnsi="仿宋" w:eastAsia="仿宋" w:cs="仿宋"/>
        </w:rPr>
      </w:pPr>
      <w:r>
        <w:rPr>
          <w:rFonts w:hint="eastAsia" w:ascii="仿宋" w:hAnsi="仿宋" w:eastAsia="仿宋" w:cs="仿宋"/>
        </w:rPr>
        <w:t xml:space="preserve">14.报价有效期 </w:t>
      </w:r>
    </w:p>
    <w:p>
      <w:pPr>
        <w:pStyle w:val="27"/>
        <w:keepNext w:val="0"/>
        <w:keepLines w:val="0"/>
        <w:pageBreakBefore w:val="0"/>
        <w:widowControl/>
        <w:kinsoku/>
        <w:wordWrap/>
        <w:overflowPunct/>
        <w:topLinePunct w:val="0"/>
        <w:autoSpaceDE/>
        <w:autoSpaceDN/>
        <w:bidi w:val="0"/>
        <w:adjustRightInd/>
        <w:snapToGrid/>
        <w:spacing w:after="0" w:line="480" w:lineRule="auto"/>
        <w:textAlignment w:val="auto"/>
        <w:rPr>
          <w:rFonts w:ascii="仿宋" w:hAnsi="仿宋" w:eastAsia="仿宋" w:cs="仿宋"/>
        </w:rPr>
      </w:pPr>
      <w:r>
        <w:rPr>
          <w:rFonts w:hint="eastAsia" w:ascii="仿宋" w:hAnsi="仿宋" w:eastAsia="仿宋" w:cs="仿宋"/>
        </w:rPr>
        <w:t xml:space="preserve">14.1 </w:t>
      </w:r>
      <w:r>
        <w:rPr>
          <w:rFonts w:hint="eastAsia" w:ascii="仿宋" w:hAnsi="仿宋" w:eastAsia="仿宋" w:cs="仿宋"/>
          <w:highlight w:val="yellow"/>
        </w:rPr>
        <w:t>从报价之日起，有效期为 90 日</w:t>
      </w:r>
      <w:r>
        <w:rPr>
          <w:rFonts w:hint="eastAsia" w:ascii="仿宋" w:hAnsi="仿宋" w:eastAsia="仿宋" w:cs="仿宋"/>
        </w:rPr>
        <w:t xml:space="preserve">。报价函的有效期比本须知规定的有效期短的，将被称为非响应报价，采购代理机构有权拒绝。 </w:t>
      </w:r>
    </w:p>
    <w:p>
      <w:pPr>
        <w:pStyle w:val="27"/>
        <w:keepNext w:val="0"/>
        <w:keepLines w:val="0"/>
        <w:pageBreakBefore w:val="0"/>
        <w:widowControl/>
        <w:kinsoku/>
        <w:wordWrap/>
        <w:overflowPunct/>
        <w:topLinePunct w:val="0"/>
        <w:autoSpaceDE/>
        <w:autoSpaceDN/>
        <w:bidi w:val="0"/>
        <w:adjustRightInd/>
        <w:snapToGrid/>
        <w:spacing w:after="0" w:line="480" w:lineRule="auto"/>
        <w:textAlignment w:val="auto"/>
        <w:rPr>
          <w:rFonts w:ascii="仿宋" w:hAnsi="仿宋" w:eastAsia="仿宋" w:cs="仿宋"/>
        </w:rPr>
      </w:pPr>
      <w:r>
        <w:rPr>
          <w:rFonts w:hint="eastAsia" w:ascii="仿宋" w:hAnsi="仿宋" w:eastAsia="仿宋" w:cs="仿宋"/>
        </w:rPr>
        <w:t xml:space="preserve">14.2 特殊情况下，在报价有效期满之前，采购代理机构可以以书面形式要求供应商同意延长报价有效期。供应商可以书面形式拒绝或接受上述要求。 </w:t>
      </w:r>
    </w:p>
    <w:p>
      <w:pPr>
        <w:rPr>
          <w:sz w:val="32"/>
          <w:szCs w:val="18"/>
          <w:lang w:val="en-US" w:eastAsia="zh-CN"/>
        </w:rPr>
      </w:pPr>
      <w:r>
        <w:rPr>
          <w:rFonts w:hint="eastAsia"/>
          <w:sz w:val="32"/>
          <w:szCs w:val="18"/>
          <w:lang w:val="en-US" w:eastAsia="zh-CN"/>
        </w:rPr>
        <w:br w:type="page"/>
      </w:r>
    </w:p>
    <w:p>
      <w:pPr>
        <w:pStyle w:val="3"/>
        <w:rPr>
          <w:sz w:val="32"/>
          <w:szCs w:val="18"/>
          <w:lang w:val="en-US" w:eastAsia="zh-CN"/>
        </w:rPr>
      </w:pPr>
      <w:bookmarkStart w:id="5" w:name="_Toc5993"/>
      <w:r>
        <w:rPr>
          <w:rFonts w:hint="eastAsia"/>
          <w:sz w:val="32"/>
          <w:szCs w:val="18"/>
          <w:lang w:val="en-US" w:eastAsia="zh-CN"/>
        </w:rPr>
        <w:t>四、响应文件递交</w:t>
      </w:r>
      <w:bookmarkEnd w:id="5"/>
    </w:p>
    <w:p>
      <w:pPr>
        <w:pStyle w:val="27"/>
        <w:spacing w:after="0" w:line="480" w:lineRule="auto"/>
        <w:rPr>
          <w:rFonts w:ascii="仿宋" w:hAnsi="仿宋" w:eastAsia="仿宋" w:cs="仿宋"/>
        </w:rPr>
      </w:pPr>
      <w:r>
        <w:rPr>
          <w:rFonts w:hint="eastAsia" w:ascii="仿宋" w:hAnsi="仿宋" w:eastAsia="仿宋" w:cs="仿宋"/>
        </w:rPr>
        <w:t xml:space="preserve">15.响应文件递交时间和地点 </w:t>
      </w:r>
    </w:p>
    <w:p>
      <w:pPr>
        <w:pStyle w:val="27"/>
        <w:spacing w:after="0" w:line="480" w:lineRule="auto"/>
        <w:rPr>
          <w:rFonts w:ascii="仿宋" w:hAnsi="仿宋" w:eastAsia="仿宋" w:cs="仿宋"/>
          <w:highlight w:val="none"/>
        </w:rPr>
      </w:pPr>
      <w:r>
        <w:rPr>
          <w:rFonts w:hint="eastAsia" w:ascii="仿宋" w:hAnsi="仿宋" w:eastAsia="仿宋" w:cs="仿宋"/>
          <w:highlight w:val="none"/>
        </w:rPr>
        <w:t>15.1 起止时间：202</w:t>
      </w:r>
      <w:r>
        <w:rPr>
          <w:rFonts w:hint="eastAsia" w:ascii="仿宋" w:hAnsi="仿宋" w:eastAsia="仿宋" w:cs="仿宋"/>
          <w:highlight w:val="none"/>
          <w:lang w:val="en-US" w:eastAsia="zh-CN"/>
        </w:rPr>
        <w:t>1</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23</w:t>
      </w:r>
      <w:r>
        <w:rPr>
          <w:rFonts w:hint="eastAsia" w:ascii="仿宋" w:hAnsi="仿宋" w:eastAsia="仿宋" w:cs="仿宋"/>
          <w:highlight w:val="none"/>
        </w:rPr>
        <w:t>日 0</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仿宋" w:hAnsi="仿宋" w:eastAsia="仿宋" w:cs="仿宋"/>
          <w:highlight w:val="none"/>
          <w:lang w:val="en-US" w:eastAsia="zh-CN"/>
        </w:rPr>
        <w:t>00</w:t>
      </w:r>
      <w:r>
        <w:rPr>
          <w:rFonts w:hint="eastAsia" w:ascii="仿宋" w:hAnsi="仿宋" w:eastAsia="仿宋" w:cs="仿宋"/>
          <w:highlight w:val="none"/>
        </w:rPr>
        <w:t>－09：</w:t>
      </w:r>
      <w:r>
        <w:rPr>
          <w:rFonts w:hint="eastAsia" w:ascii="仿宋" w:hAnsi="仿宋" w:eastAsia="仿宋" w:cs="仿宋"/>
          <w:highlight w:val="none"/>
          <w:lang w:val="en-US" w:eastAsia="zh-CN"/>
        </w:rPr>
        <w:t>30</w:t>
      </w:r>
      <w:r>
        <w:rPr>
          <w:rFonts w:hint="eastAsia" w:ascii="仿宋" w:hAnsi="仿宋" w:eastAsia="仿宋" w:cs="仿宋"/>
          <w:highlight w:val="none"/>
        </w:rPr>
        <w:t xml:space="preserve"> </w:t>
      </w:r>
    </w:p>
    <w:p>
      <w:pPr>
        <w:pStyle w:val="27"/>
        <w:spacing w:after="0" w:line="480" w:lineRule="auto"/>
        <w:rPr>
          <w:rFonts w:ascii="仿宋" w:hAnsi="仿宋" w:eastAsia="仿宋" w:cs="仿宋"/>
        </w:rPr>
      </w:pPr>
      <w:r>
        <w:rPr>
          <w:rFonts w:hint="eastAsia" w:ascii="仿宋" w:hAnsi="仿宋" w:eastAsia="仿宋" w:cs="仿宋"/>
        </w:rPr>
        <w:t>地 点：济南市市中区二环南路3377号绿地新都会A1-3号写字楼11层11</w:t>
      </w:r>
      <w:r>
        <w:rPr>
          <w:rFonts w:hint="eastAsia" w:ascii="仿宋" w:hAnsi="仿宋" w:eastAsia="仿宋" w:cs="仿宋"/>
          <w:lang w:val="en-US" w:eastAsia="zh-CN"/>
        </w:rPr>
        <w:t>18</w:t>
      </w:r>
      <w:r>
        <w:rPr>
          <w:rFonts w:hint="eastAsia" w:ascii="仿宋" w:hAnsi="仿宋" w:eastAsia="仿宋" w:cs="仿宋"/>
        </w:rPr>
        <w:t xml:space="preserve">室 </w:t>
      </w:r>
    </w:p>
    <w:p>
      <w:pPr>
        <w:pStyle w:val="27"/>
        <w:spacing w:after="0" w:line="480" w:lineRule="auto"/>
        <w:rPr>
          <w:rFonts w:ascii="仿宋" w:hAnsi="仿宋" w:eastAsia="仿宋" w:cs="仿宋"/>
        </w:rPr>
      </w:pPr>
      <w:r>
        <w:rPr>
          <w:rFonts w:hint="eastAsia" w:ascii="仿宋" w:hAnsi="仿宋" w:eastAsia="仿宋" w:cs="仿宋"/>
        </w:rPr>
        <w:t xml:space="preserve">15.2 供应商代表必须在报价截止时间前将响应文件送达指定地点。如因特殊原因需推迟报价截止日期的，则按采购代理机构另行通知规定的时间递交。 </w:t>
      </w:r>
    </w:p>
    <w:p>
      <w:pPr>
        <w:pStyle w:val="27"/>
        <w:spacing w:after="0" w:line="480" w:lineRule="auto"/>
        <w:rPr>
          <w:rFonts w:ascii="仿宋" w:hAnsi="仿宋" w:eastAsia="仿宋" w:cs="仿宋"/>
        </w:rPr>
      </w:pPr>
      <w:r>
        <w:rPr>
          <w:rFonts w:hint="eastAsia" w:ascii="仿宋" w:hAnsi="仿宋" w:eastAsia="仿宋" w:cs="仿宋"/>
        </w:rPr>
        <w:t xml:space="preserve">15.3 采购代理机构将拒绝接收报价截止时间后送达的响应文件。 </w:t>
      </w:r>
    </w:p>
    <w:p>
      <w:pPr>
        <w:pStyle w:val="27"/>
        <w:spacing w:after="0" w:line="480" w:lineRule="auto"/>
        <w:rPr>
          <w:rFonts w:ascii="仿宋" w:hAnsi="仿宋" w:eastAsia="仿宋" w:cs="仿宋"/>
        </w:rPr>
      </w:pPr>
      <w:r>
        <w:rPr>
          <w:rFonts w:hint="eastAsia" w:ascii="仿宋" w:hAnsi="仿宋" w:eastAsia="仿宋" w:cs="仿宋"/>
        </w:rPr>
        <w:t xml:space="preserve">16.响应文件签收 </w:t>
      </w:r>
    </w:p>
    <w:p>
      <w:pPr>
        <w:pStyle w:val="27"/>
        <w:spacing w:after="0" w:line="480" w:lineRule="auto"/>
        <w:rPr>
          <w:rFonts w:ascii="仿宋" w:hAnsi="仿宋" w:eastAsia="仿宋" w:cs="仿宋"/>
        </w:rPr>
      </w:pPr>
      <w:r>
        <w:rPr>
          <w:rFonts w:hint="eastAsia" w:ascii="仿宋" w:hAnsi="仿宋" w:eastAsia="仿宋" w:cs="仿宋"/>
        </w:rPr>
        <w:t>16.1 采购代理机构收到响应文件后，</w:t>
      </w:r>
      <w:r>
        <w:rPr>
          <w:rFonts w:hint="eastAsia" w:ascii="仿宋" w:hAnsi="仿宋" w:eastAsia="仿宋" w:cs="仿宋"/>
          <w:lang w:val="en-US" w:eastAsia="zh-CN"/>
        </w:rPr>
        <w:t>由</w:t>
      </w:r>
      <w:r>
        <w:rPr>
          <w:rFonts w:hint="eastAsia" w:ascii="仿宋" w:hAnsi="仿宋" w:eastAsia="仿宋" w:cs="仿宋"/>
        </w:rPr>
        <w:t>供应商</w:t>
      </w:r>
      <w:r>
        <w:rPr>
          <w:rFonts w:hint="eastAsia" w:ascii="仿宋" w:hAnsi="仿宋" w:eastAsia="仿宋" w:cs="仿宋"/>
          <w:lang w:val="en-US" w:eastAsia="zh-CN"/>
        </w:rPr>
        <w:t>填写签到</w:t>
      </w:r>
      <w:r>
        <w:rPr>
          <w:rFonts w:hint="eastAsia" w:ascii="仿宋" w:hAnsi="仿宋" w:eastAsia="仿宋" w:cs="仿宋"/>
        </w:rPr>
        <w:t xml:space="preserve">证明。 </w:t>
      </w:r>
    </w:p>
    <w:p>
      <w:pPr>
        <w:pStyle w:val="27"/>
        <w:spacing w:after="0" w:line="480" w:lineRule="auto"/>
        <w:rPr>
          <w:rFonts w:ascii="仿宋" w:hAnsi="仿宋" w:eastAsia="仿宋" w:cs="仿宋"/>
        </w:rPr>
      </w:pPr>
      <w:r>
        <w:rPr>
          <w:rFonts w:hint="eastAsia" w:ascii="仿宋" w:hAnsi="仿宋" w:eastAsia="仿宋" w:cs="仿宋"/>
        </w:rPr>
        <w:t xml:space="preserve">16.2 电报、电话、传真、电子邮件等形式的报价不予接受。 </w:t>
      </w:r>
    </w:p>
    <w:p>
      <w:pPr>
        <w:pStyle w:val="27"/>
        <w:spacing w:after="0" w:line="480" w:lineRule="auto"/>
        <w:rPr>
          <w:rFonts w:ascii="仿宋" w:hAnsi="仿宋" w:eastAsia="仿宋" w:cs="仿宋"/>
        </w:rPr>
      </w:pPr>
      <w:r>
        <w:rPr>
          <w:rFonts w:hint="eastAsia" w:ascii="仿宋" w:hAnsi="仿宋" w:eastAsia="仿宋" w:cs="仿宋"/>
        </w:rPr>
        <w:t xml:space="preserve">16.3 对供应商提交的响应文件在报价截止时间后不予退还。 </w:t>
      </w:r>
    </w:p>
    <w:p>
      <w:pPr>
        <w:pStyle w:val="27"/>
        <w:spacing w:after="0" w:line="480" w:lineRule="auto"/>
        <w:rPr>
          <w:rFonts w:ascii="仿宋" w:hAnsi="仿宋" w:eastAsia="仿宋" w:cs="仿宋"/>
        </w:rPr>
      </w:pPr>
      <w:r>
        <w:rPr>
          <w:rFonts w:hint="eastAsia" w:ascii="仿宋" w:hAnsi="仿宋" w:eastAsia="仿宋" w:cs="仿宋"/>
        </w:rPr>
        <w:t xml:space="preserve">17. 响应文件修改与撤回 </w:t>
      </w:r>
    </w:p>
    <w:p>
      <w:pPr>
        <w:pStyle w:val="27"/>
        <w:spacing w:after="0" w:line="480" w:lineRule="auto"/>
        <w:rPr>
          <w:rFonts w:ascii="仿宋" w:hAnsi="仿宋" w:eastAsia="仿宋" w:cs="仿宋"/>
        </w:rPr>
      </w:pPr>
      <w:r>
        <w:rPr>
          <w:rFonts w:hint="eastAsia" w:ascii="仿宋" w:hAnsi="仿宋" w:eastAsia="仿宋" w:cs="仿宋"/>
        </w:rPr>
        <w:t xml:space="preserve">17.1 供应商在磋商文件要求提交响应文件的截止时间前，可以补充、修改或者撤回已提交的响应文件，并书面形式通知采购代理机构。 </w:t>
      </w:r>
    </w:p>
    <w:p>
      <w:pPr>
        <w:pStyle w:val="27"/>
        <w:spacing w:after="0" w:line="480" w:lineRule="auto"/>
        <w:rPr>
          <w:rFonts w:ascii="仿宋" w:hAnsi="仿宋" w:eastAsia="仿宋" w:cs="仿宋"/>
        </w:rPr>
      </w:pPr>
      <w:r>
        <w:rPr>
          <w:rFonts w:hint="eastAsia" w:ascii="仿宋" w:hAnsi="仿宋" w:eastAsia="仿宋" w:cs="仿宋"/>
        </w:rPr>
        <w:t>17.2 供应商对响应文件的补充、修改或撤回通知应按本须知规定编制、密封、标记和递交。</w:t>
      </w:r>
    </w:p>
    <w:p>
      <w:pPr>
        <w:pStyle w:val="27"/>
        <w:spacing w:after="0" w:line="480" w:lineRule="auto"/>
        <w:rPr>
          <w:rFonts w:ascii="仿宋" w:hAnsi="仿宋" w:eastAsia="仿宋" w:cs="仿宋"/>
        </w:rPr>
      </w:pPr>
      <w:r>
        <w:rPr>
          <w:rFonts w:hint="eastAsia" w:ascii="仿宋" w:hAnsi="仿宋" w:eastAsia="仿宋" w:cs="仿宋"/>
        </w:rPr>
        <w:t xml:space="preserve">17.3 撤回报价的要求应以书面形式提出，由供应商法定代表人或授权代理人签署，并在报价截止时间前送达采购代理机构。 </w:t>
      </w:r>
    </w:p>
    <w:p>
      <w:pPr>
        <w:pStyle w:val="27"/>
        <w:spacing w:after="0" w:line="480" w:lineRule="auto"/>
        <w:rPr>
          <w:rFonts w:ascii="仿宋" w:hAnsi="仿宋" w:eastAsia="仿宋" w:cs="仿宋"/>
        </w:rPr>
      </w:pPr>
      <w:r>
        <w:rPr>
          <w:rFonts w:hint="eastAsia" w:ascii="仿宋" w:hAnsi="仿宋" w:eastAsia="仿宋" w:cs="仿宋"/>
        </w:rPr>
        <w:t xml:space="preserve">17.4 报价有效期内不得撤回响应文件，开启仪式后撤回报价的行为将被记入不良记录名单，供应商今后参与同类采购项目的机会可能会受到影响。 </w:t>
      </w:r>
    </w:p>
    <w:p>
      <w:pPr>
        <w:pStyle w:val="27"/>
        <w:spacing w:after="0" w:line="480" w:lineRule="auto"/>
        <w:rPr>
          <w:rFonts w:ascii="仿宋" w:hAnsi="仿宋" w:eastAsia="仿宋" w:cs="仿宋"/>
        </w:rPr>
      </w:pPr>
      <w:r>
        <w:rPr>
          <w:rFonts w:hint="eastAsia" w:ascii="仿宋" w:hAnsi="仿宋" w:eastAsia="仿宋" w:cs="仿宋"/>
        </w:rPr>
        <w:t xml:space="preserve">18.响应文件有下列情况之一，采购人或者采购代理机构不予受理： </w:t>
      </w:r>
    </w:p>
    <w:p>
      <w:pPr>
        <w:pStyle w:val="27"/>
        <w:spacing w:after="0" w:line="480" w:lineRule="auto"/>
        <w:rPr>
          <w:rFonts w:ascii="仿宋" w:hAnsi="仿宋" w:eastAsia="仿宋" w:cs="仿宋"/>
        </w:rPr>
      </w:pPr>
      <w:r>
        <w:rPr>
          <w:rFonts w:hint="eastAsia" w:ascii="仿宋" w:hAnsi="仿宋" w:eastAsia="仿宋" w:cs="仿宋"/>
        </w:rPr>
        <w:t xml:space="preserve">18.1 逾期送达的或者未送达指定地点的； </w:t>
      </w:r>
    </w:p>
    <w:p>
      <w:pPr>
        <w:pStyle w:val="27"/>
        <w:spacing w:after="0" w:line="480" w:lineRule="auto"/>
        <w:rPr>
          <w:rFonts w:ascii="仿宋" w:hAnsi="仿宋" w:eastAsia="仿宋" w:cs="仿宋"/>
        </w:rPr>
      </w:pPr>
      <w:r>
        <w:rPr>
          <w:rFonts w:hint="eastAsia" w:ascii="仿宋" w:hAnsi="仿宋" w:eastAsia="仿宋" w:cs="仿宋"/>
        </w:rPr>
        <w:t xml:space="preserve">18.2 未按照采购文件要求密封、标记的； </w:t>
      </w:r>
    </w:p>
    <w:p>
      <w:pPr>
        <w:pStyle w:val="27"/>
        <w:spacing w:after="0" w:line="480" w:lineRule="auto"/>
        <w:rPr>
          <w:rFonts w:ascii="仿宋" w:hAnsi="仿宋" w:eastAsia="仿宋" w:cs="仿宋"/>
        </w:rPr>
      </w:pPr>
      <w:r>
        <w:rPr>
          <w:rFonts w:hint="eastAsia" w:ascii="仿宋" w:hAnsi="仿宋" w:eastAsia="仿宋" w:cs="仿宋"/>
        </w:rPr>
        <w:t xml:space="preserve">18.3 开启响应文件后，供应商再对响应文件的密封情况提出异议的。 </w:t>
      </w:r>
    </w:p>
    <w:p>
      <w:pPr>
        <w:pStyle w:val="27"/>
        <w:spacing w:after="0" w:line="480" w:lineRule="auto"/>
        <w:rPr>
          <w:rFonts w:ascii="仿宋" w:hAnsi="仿宋" w:eastAsia="仿宋" w:cs="仿宋"/>
        </w:rPr>
      </w:pPr>
      <w:bookmarkStart w:id="6" w:name="_Toc22762"/>
      <w:r>
        <w:rPr>
          <w:rStyle w:val="28"/>
          <w:rFonts w:hint="eastAsia" w:ascii="仿宋" w:hAnsi="仿宋" w:eastAsia="仿宋" w:cs="仿宋"/>
          <w:sz w:val="32"/>
          <w:szCs w:val="20"/>
        </w:rPr>
        <w:t>五、开启与磋商</w:t>
      </w:r>
      <w:bookmarkEnd w:id="6"/>
    </w:p>
    <w:p>
      <w:pPr>
        <w:pStyle w:val="27"/>
        <w:spacing w:after="0" w:line="480" w:lineRule="auto"/>
        <w:rPr>
          <w:rFonts w:ascii="仿宋" w:hAnsi="仿宋" w:eastAsia="仿宋" w:cs="仿宋"/>
        </w:rPr>
      </w:pPr>
      <w:r>
        <w:rPr>
          <w:rFonts w:hint="eastAsia" w:ascii="仿宋" w:hAnsi="仿宋" w:eastAsia="仿宋" w:cs="仿宋"/>
        </w:rPr>
        <w:t xml:space="preserve">19.开启 </w:t>
      </w:r>
    </w:p>
    <w:p>
      <w:pPr>
        <w:pStyle w:val="27"/>
        <w:spacing w:after="0" w:line="480" w:lineRule="auto"/>
        <w:rPr>
          <w:rFonts w:ascii="仿宋" w:hAnsi="仿宋" w:eastAsia="仿宋" w:cs="仿宋"/>
        </w:rPr>
      </w:pPr>
      <w:r>
        <w:rPr>
          <w:rFonts w:hint="eastAsia" w:ascii="仿宋" w:hAnsi="仿宋" w:eastAsia="仿宋" w:cs="仿宋"/>
        </w:rPr>
        <w:t>19.1 按照磋商文件规定的时间、地点开启。开启由采购代理机构主持，采购单位、供应商和有关方面的代表参加。供应商法定代表人或其授权代理人应参加并签名报到以证明其出席。</w:t>
      </w:r>
    </w:p>
    <w:p>
      <w:pPr>
        <w:pStyle w:val="27"/>
        <w:spacing w:after="0" w:line="480" w:lineRule="auto"/>
        <w:rPr>
          <w:rFonts w:ascii="仿宋" w:hAnsi="仿宋" w:eastAsia="仿宋" w:cs="仿宋"/>
        </w:rPr>
      </w:pPr>
      <w:r>
        <w:rPr>
          <w:rFonts w:hint="eastAsia" w:ascii="仿宋" w:hAnsi="仿宋" w:eastAsia="仿宋" w:cs="仿宋"/>
        </w:rPr>
        <w:t xml:space="preserve">19.2 开启时，由供应商检查响应文件的密封情况，并经供应商签字确认。 </w:t>
      </w:r>
    </w:p>
    <w:p>
      <w:pPr>
        <w:pStyle w:val="27"/>
        <w:spacing w:after="0" w:line="480" w:lineRule="auto"/>
        <w:rPr>
          <w:rFonts w:ascii="仿宋" w:hAnsi="仿宋" w:eastAsia="仿宋" w:cs="仿宋"/>
        </w:rPr>
      </w:pPr>
      <w:r>
        <w:rPr>
          <w:rFonts w:hint="eastAsia" w:ascii="仿宋" w:hAnsi="仿宋" w:eastAsia="仿宋" w:cs="仿宋"/>
        </w:rPr>
        <w:t xml:space="preserve">19.3 工作人员当众拆启响应文件，唱价员宣读供应商名称、报价和其它主要内容。 </w:t>
      </w:r>
    </w:p>
    <w:p>
      <w:pPr>
        <w:pStyle w:val="27"/>
        <w:spacing w:after="0" w:line="480" w:lineRule="auto"/>
        <w:rPr>
          <w:rFonts w:ascii="仿宋" w:hAnsi="仿宋" w:eastAsia="仿宋" w:cs="仿宋"/>
        </w:rPr>
      </w:pPr>
      <w:r>
        <w:rPr>
          <w:rFonts w:hint="eastAsia" w:ascii="仿宋" w:hAnsi="仿宋" w:eastAsia="仿宋" w:cs="仿宋"/>
        </w:rPr>
        <w:t xml:space="preserve">19.4 记录员将唱价内容分项记录。 </w:t>
      </w:r>
    </w:p>
    <w:p>
      <w:pPr>
        <w:pStyle w:val="27"/>
        <w:spacing w:after="0" w:line="480" w:lineRule="auto"/>
        <w:rPr>
          <w:rFonts w:ascii="仿宋" w:hAnsi="仿宋" w:eastAsia="仿宋" w:cs="仿宋"/>
        </w:rPr>
      </w:pPr>
      <w:r>
        <w:rPr>
          <w:rFonts w:hint="eastAsia" w:ascii="仿宋" w:hAnsi="仿宋" w:eastAsia="仿宋" w:cs="仿宋"/>
        </w:rPr>
        <w:t xml:space="preserve">20.磋商小组 </w:t>
      </w:r>
    </w:p>
    <w:p>
      <w:pPr>
        <w:pStyle w:val="27"/>
        <w:spacing w:after="0" w:line="480" w:lineRule="auto"/>
        <w:rPr>
          <w:rFonts w:ascii="仿宋" w:hAnsi="仿宋" w:eastAsia="仿宋" w:cs="仿宋"/>
        </w:rPr>
      </w:pPr>
      <w:r>
        <w:rPr>
          <w:rFonts w:hint="eastAsia" w:ascii="仿宋" w:hAnsi="仿宋" w:eastAsia="仿宋" w:cs="仿宋"/>
        </w:rPr>
        <w:t xml:space="preserve">采购代理机构将根据本项目的特点组建磋商小组，其成员由采购人代表及相关专业的评审专家等三人以上单数组成，其中经济、技术等方面的专家不得少于成员总数的三分之二。 </w:t>
      </w:r>
    </w:p>
    <w:p>
      <w:pPr>
        <w:pStyle w:val="27"/>
        <w:spacing w:after="0" w:line="480" w:lineRule="auto"/>
        <w:rPr>
          <w:rFonts w:ascii="仿宋" w:hAnsi="仿宋" w:eastAsia="仿宋" w:cs="仿宋"/>
        </w:rPr>
      </w:pPr>
      <w:r>
        <w:rPr>
          <w:rFonts w:hint="eastAsia" w:ascii="仿宋" w:hAnsi="仿宋" w:eastAsia="仿宋" w:cs="仿宋"/>
        </w:rPr>
        <w:t xml:space="preserve">21.磋商原则 </w:t>
      </w:r>
    </w:p>
    <w:p>
      <w:pPr>
        <w:pStyle w:val="27"/>
        <w:spacing w:after="0" w:line="480" w:lineRule="auto"/>
        <w:rPr>
          <w:rFonts w:ascii="仿宋" w:hAnsi="仿宋" w:eastAsia="仿宋" w:cs="仿宋"/>
        </w:rPr>
      </w:pPr>
      <w:r>
        <w:rPr>
          <w:rFonts w:hint="eastAsia" w:ascii="仿宋" w:hAnsi="仿宋" w:eastAsia="仿宋" w:cs="仿宋"/>
        </w:rPr>
        <w:t xml:space="preserve">21.1 统一性原则：磋商小组将按照统一的磋商原则和磋商方法，用同一标准进行评审。 </w:t>
      </w:r>
    </w:p>
    <w:p>
      <w:pPr>
        <w:pStyle w:val="27"/>
        <w:spacing w:after="0" w:line="480" w:lineRule="auto"/>
        <w:rPr>
          <w:rFonts w:ascii="仿宋" w:hAnsi="仿宋" w:eastAsia="仿宋" w:cs="仿宋"/>
        </w:rPr>
      </w:pPr>
      <w:r>
        <w:rPr>
          <w:rFonts w:hint="eastAsia" w:ascii="仿宋" w:hAnsi="仿宋" w:eastAsia="仿宋" w:cs="仿宋"/>
        </w:rPr>
        <w:t xml:space="preserve">21.2 独立性原则：磋商工作在磋商小组内部独立进行，不受外界任何因素的干扰和影响。磋商小组成员对出具的磋商意见承担个人责任。 </w:t>
      </w:r>
    </w:p>
    <w:p>
      <w:pPr>
        <w:pStyle w:val="27"/>
        <w:spacing w:after="0" w:line="480" w:lineRule="auto"/>
        <w:rPr>
          <w:rFonts w:ascii="仿宋" w:hAnsi="仿宋" w:eastAsia="仿宋" w:cs="仿宋"/>
        </w:rPr>
      </w:pPr>
      <w:r>
        <w:rPr>
          <w:rFonts w:hint="eastAsia" w:ascii="仿宋" w:hAnsi="仿宋" w:eastAsia="仿宋" w:cs="仿宋"/>
        </w:rPr>
        <w:t xml:space="preserve">21.3 物有所值原则：通过第一轮的开启，激发供应商展开竞争，进一步优化方案，并使报价符合预期目标。 </w:t>
      </w:r>
    </w:p>
    <w:p>
      <w:pPr>
        <w:pStyle w:val="27"/>
        <w:spacing w:after="0" w:line="480" w:lineRule="auto"/>
        <w:rPr>
          <w:rFonts w:ascii="仿宋" w:hAnsi="仿宋" w:eastAsia="仿宋" w:cs="仿宋"/>
        </w:rPr>
      </w:pPr>
      <w:r>
        <w:rPr>
          <w:rFonts w:hint="eastAsia" w:ascii="仿宋" w:hAnsi="仿宋" w:eastAsia="仿宋" w:cs="仿宋"/>
        </w:rPr>
        <w:t>21.4 保密性原则：采购代理机构应当采取必要的措施，保证磋商在严格保密的情况下进行。</w:t>
      </w:r>
    </w:p>
    <w:p>
      <w:pPr>
        <w:pStyle w:val="27"/>
        <w:spacing w:after="0" w:line="480" w:lineRule="auto"/>
        <w:rPr>
          <w:rFonts w:ascii="仿宋" w:hAnsi="仿宋" w:eastAsia="仿宋" w:cs="仿宋"/>
        </w:rPr>
      </w:pPr>
      <w:r>
        <w:rPr>
          <w:rFonts w:hint="eastAsia" w:ascii="仿宋" w:hAnsi="仿宋" w:eastAsia="仿宋" w:cs="仿宋"/>
        </w:rPr>
        <w:t xml:space="preserve">21.5 综合性原则：磋商小组将综合分析、评审供应商的各项指标，而不以单项指标的优劣评定出成交供应商。 </w:t>
      </w:r>
    </w:p>
    <w:p>
      <w:pPr>
        <w:pStyle w:val="27"/>
        <w:spacing w:after="0" w:line="480" w:lineRule="auto"/>
        <w:rPr>
          <w:rFonts w:ascii="仿宋" w:hAnsi="仿宋" w:eastAsia="仿宋" w:cs="仿宋"/>
        </w:rPr>
      </w:pPr>
      <w:r>
        <w:rPr>
          <w:rFonts w:hint="eastAsia" w:ascii="仿宋" w:hAnsi="仿宋" w:eastAsia="仿宋" w:cs="仿宋"/>
        </w:rPr>
        <w:t xml:space="preserve">22.评审方法 </w:t>
      </w:r>
    </w:p>
    <w:p>
      <w:pPr>
        <w:pStyle w:val="27"/>
        <w:spacing w:after="0" w:line="480" w:lineRule="auto"/>
        <w:rPr>
          <w:rFonts w:ascii="仿宋" w:hAnsi="仿宋" w:eastAsia="仿宋" w:cs="仿宋"/>
        </w:rPr>
      </w:pPr>
      <w:r>
        <w:rPr>
          <w:rFonts w:hint="eastAsia" w:ascii="仿宋" w:hAnsi="仿宋" w:eastAsia="仿宋" w:cs="仿宋"/>
        </w:rPr>
        <w:t xml:space="preserve">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根据采购人的授权直接确定成交供应商或确定成交供应商候选人。（评分细则附后） </w:t>
      </w:r>
    </w:p>
    <w:p>
      <w:pPr>
        <w:pStyle w:val="27"/>
        <w:spacing w:after="0" w:line="480" w:lineRule="auto"/>
        <w:rPr>
          <w:rFonts w:ascii="仿宋" w:hAnsi="仿宋" w:eastAsia="仿宋" w:cs="仿宋"/>
        </w:rPr>
      </w:pPr>
      <w:r>
        <w:rPr>
          <w:rFonts w:hint="eastAsia" w:ascii="仿宋" w:hAnsi="仿宋" w:eastAsia="仿宋" w:cs="仿宋"/>
        </w:rPr>
        <w:t xml:space="preserve">23.初步评审 </w:t>
      </w:r>
    </w:p>
    <w:p>
      <w:pPr>
        <w:pStyle w:val="27"/>
        <w:spacing w:after="0" w:line="480" w:lineRule="auto"/>
        <w:rPr>
          <w:rFonts w:ascii="仿宋" w:hAnsi="仿宋" w:eastAsia="仿宋" w:cs="仿宋"/>
        </w:rPr>
      </w:pPr>
      <w:r>
        <w:rPr>
          <w:rFonts w:hint="eastAsia" w:ascii="仿宋" w:hAnsi="仿宋" w:eastAsia="仿宋" w:cs="仿宋"/>
        </w:rPr>
        <w:t xml:space="preserve">23.1 磋商小组对供应商进行资格性初步检查。资格性检查指依据法律、法规和磋商文件的规定，对响应文件中的资格证明等进行审查，如果供应商出现没有按照要求提交全部资格证明文件或资格证明无效；报价有效期不足的；不参加报价仪式；未按照磋商文件要求密封、签署、盖章等情况，则其响应文件将被拒绝。 </w:t>
      </w:r>
    </w:p>
    <w:p>
      <w:pPr>
        <w:pStyle w:val="27"/>
        <w:spacing w:after="0" w:line="480" w:lineRule="auto"/>
        <w:rPr>
          <w:rFonts w:ascii="仿宋" w:hAnsi="仿宋" w:eastAsia="仿宋" w:cs="仿宋"/>
        </w:rPr>
      </w:pPr>
      <w:r>
        <w:rPr>
          <w:rFonts w:hint="eastAsia" w:ascii="仿宋" w:hAnsi="仿宋" w:eastAsia="仿宋" w:cs="仿宋"/>
        </w:rPr>
        <w:t xml:space="preserve">23.2 磋商：磋商小组将与通过资格审查的单一供应商分别进行磋商。在磋商中，磋商的任何一方不得透露与磋商有关的其他供应商的技术资料、价格和其他信息。采购文件有实质性变动的，磋商小组将以书面形式通知所有参加磋商的供应商。 </w:t>
      </w:r>
    </w:p>
    <w:p>
      <w:pPr>
        <w:pStyle w:val="27"/>
        <w:spacing w:after="0" w:line="480" w:lineRule="auto"/>
        <w:rPr>
          <w:rFonts w:ascii="仿宋" w:hAnsi="仿宋" w:eastAsia="仿宋" w:cs="仿宋"/>
        </w:rPr>
      </w:pPr>
      <w:r>
        <w:rPr>
          <w:rFonts w:hint="eastAsia" w:ascii="仿宋" w:hAnsi="仿宋" w:eastAsia="仿宋" w:cs="仿宋"/>
        </w:rPr>
        <w:t xml:space="preserve">23.3 供应商进行再次报价。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 </w:t>
      </w:r>
    </w:p>
    <w:p>
      <w:pPr>
        <w:pStyle w:val="27"/>
        <w:spacing w:after="0" w:line="480" w:lineRule="auto"/>
        <w:rPr>
          <w:rFonts w:ascii="仿宋" w:hAnsi="仿宋" w:eastAsia="仿宋" w:cs="仿宋"/>
        </w:rPr>
      </w:pPr>
      <w:r>
        <w:rPr>
          <w:rFonts w:hint="eastAsia" w:ascii="仿宋" w:hAnsi="仿宋" w:eastAsia="仿宋" w:cs="仿宋"/>
        </w:rPr>
        <w:t xml:space="preserve">23.4 符合性检查：指依据调整后的磋商文件的规定，从响应文件的有效性、完整性和对响应文件的响应程度进行审查，以确定是否对响应文件的实质性要求作出响应。实质性响应的报价是指报价符合磋商文件的所有条款、条件和规格且没有重大偏离或保留。 </w:t>
      </w:r>
    </w:p>
    <w:p>
      <w:pPr>
        <w:pStyle w:val="27"/>
        <w:spacing w:after="0" w:line="480" w:lineRule="auto"/>
        <w:rPr>
          <w:rFonts w:ascii="仿宋" w:hAnsi="仿宋" w:eastAsia="仿宋" w:cs="仿宋"/>
        </w:rPr>
      </w:pPr>
      <w:r>
        <w:rPr>
          <w:rFonts w:hint="eastAsia" w:ascii="仿宋" w:hAnsi="仿宋" w:eastAsia="仿宋" w:cs="仿宋"/>
        </w:rPr>
        <w:t xml:space="preserve">23.5 如出现下列情形之一的，视为对响应文件没有做出实质性响应，按照无效报价处理。 </w:t>
      </w:r>
    </w:p>
    <w:p>
      <w:pPr>
        <w:pStyle w:val="27"/>
        <w:spacing w:after="0" w:line="480" w:lineRule="auto"/>
        <w:rPr>
          <w:rFonts w:ascii="仿宋" w:hAnsi="仿宋" w:eastAsia="仿宋" w:cs="仿宋"/>
        </w:rPr>
      </w:pPr>
      <w:r>
        <w:rPr>
          <w:rFonts w:hint="eastAsia" w:ascii="仿宋" w:hAnsi="仿宋" w:eastAsia="仿宋" w:cs="仿宋"/>
        </w:rPr>
        <w:t xml:space="preserve">1）响应文件中的实施服务方案明显不符合磋商文件要求； </w:t>
      </w:r>
    </w:p>
    <w:p>
      <w:pPr>
        <w:pStyle w:val="27"/>
        <w:spacing w:after="0" w:line="480" w:lineRule="auto"/>
        <w:rPr>
          <w:rFonts w:ascii="仿宋" w:hAnsi="仿宋" w:eastAsia="仿宋" w:cs="仿宋"/>
        </w:rPr>
      </w:pPr>
      <w:r>
        <w:rPr>
          <w:rFonts w:hint="eastAsia" w:ascii="仿宋" w:hAnsi="仿宋" w:eastAsia="仿宋" w:cs="仿宋"/>
        </w:rPr>
        <w:t xml:space="preserve">2）供应商不参加具体磋商事宜； </w:t>
      </w:r>
    </w:p>
    <w:p>
      <w:pPr>
        <w:pStyle w:val="27"/>
        <w:spacing w:after="0" w:line="480" w:lineRule="auto"/>
        <w:rPr>
          <w:rFonts w:ascii="仿宋" w:hAnsi="仿宋" w:eastAsia="仿宋" w:cs="仿宋"/>
        </w:rPr>
      </w:pPr>
      <w:r>
        <w:rPr>
          <w:rFonts w:hint="eastAsia" w:ascii="仿宋" w:hAnsi="仿宋" w:eastAsia="仿宋" w:cs="仿宋"/>
        </w:rPr>
        <w:t xml:space="preserve">3）未经财政部门核准，提供进口产品的； </w:t>
      </w:r>
    </w:p>
    <w:p>
      <w:pPr>
        <w:pStyle w:val="27"/>
        <w:spacing w:after="0" w:line="480" w:lineRule="auto"/>
        <w:rPr>
          <w:rFonts w:ascii="仿宋" w:hAnsi="仿宋" w:eastAsia="仿宋" w:cs="仿宋"/>
        </w:rPr>
      </w:pPr>
      <w:r>
        <w:rPr>
          <w:rFonts w:hint="eastAsia" w:ascii="仿宋" w:hAnsi="仿宋" w:eastAsia="仿宋" w:cs="仿宋"/>
        </w:rPr>
        <w:t xml:space="preserve">4）报价超过采购预算的； </w:t>
      </w:r>
    </w:p>
    <w:p>
      <w:pPr>
        <w:pStyle w:val="27"/>
        <w:spacing w:after="0" w:line="480" w:lineRule="auto"/>
        <w:rPr>
          <w:rFonts w:ascii="仿宋" w:hAnsi="仿宋" w:eastAsia="仿宋" w:cs="仿宋"/>
        </w:rPr>
      </w:pPr>
      <w:r>
        <w:rPr>
          <w:rFonts w:hint="eastAsia" w:ascii="仿宋" w:hAnsi="仿宋" w:eastAsia="仿宋" w:cs="仿宋"/>
        </w:rPr>
        <w:t xml:space="preserve">5）未全部响应采购文件规定的实质性要求的； </w:t>
      </w:r>
    </w:p>
    <w:p>
      <w:pPr>
        <w:pStyle w:val="27"/>
        <w:spacing w:after="0" w:line="480" w:lineRule="auto"/>
        <w:rPr>
          <w:rFonts w:ascii="仿宋" w:hAnsi="仿宋" w:eastAsia="仿宋" w:cs="仿宋"/>
        </w:rPr>
      </w:pPr>
      <w:r>
        <w:rPr>
          <w:rFonts w:hint="eastAsia" w:ascii="仿宋" w:hAnsi="仿宋" w:eastAsia="仿宋" w:cs="仿宋"/>
        </w:rPr>
        <w:t xml:space="preserve">6）不符合法律法规和磋商文件中规定的其他实质性要求的； </w:t>
      </w:r>
    </w:p>
    <w:p>
      <w:pPr>
        <w:pStyle w:val="27"/>
        <w:spacing w:after="0" w:line="480" w:lineRule="auto"/>
        <w:rPr>
          <w:rFonts w:ascii="仿宋" w:hAnsi="仿宋" w:eastAsia="仿宋" w:cs="仿宋"/>
        </w:rPr>
      </w:pPr>
      <w:r>
        <w:rPr>
          <w:rFonts w:hint="eastAsia" w:ascii="仿宋" w:hAnsi="仿宋" w:eastAsia="仿宋" w:cs="仿宋"/>
        </w:rPr>
        <w:t>23.6 最终报价后，重大偏离不允许被修正，但磋商小组将允许修正报价中不构成重大偏离的地方，这些修正不会对其他实质上响应磋商文件要求的供应商的竞争地位产生不公正的影响。</w:t>
      </w:r>
    </w:p>
    <w:p>
      <w:pPr>
        <w:pStyle w:val="27"/>
        <w:spacing w:after="0" w:line="480" w:lineRule="auto"/>
        <w:rPr>
          <w:rFonts w:ascii="仿宋" w:hAnsi="仿宋" w:eastAsia="仿宋" w:cs="仿宋"/>
        </w:rPr>
      </w:pPr>
      <w:r>
        <w:rPr>
          <w:rFonts w:hint="eastAsia" w:ascii="仿宋" w:hAnsi="仿宋" w:eastAsia="仿宋" w:cs="仿宋"/>
        </w:rPr>
        <w:t xml:space="preserve">23.7 磋商小组将拒绝被确定为非实质性响应的响应文件，供应商不能通过修正或撤销响应文件中的不符之处而使其报价成为实质性响应的报价。 </w:t>
      </w:r>
    </w:p>
    <w:p>
      <w:pPr>
        <w:pStyle w:val="27"/>
        <w:spacing w:after="0" w:line="480" w:lineRule="auto"/>
        <w:rPr>
          <w:rFonts w:ascii="仿宋" w:hAnsi="仿宋" w:eastAsia="仿宋" w:cs="仿宋"/>
        </w:rPr>
      </w:pPr>
      <w:r>
        <w:rPr>
          <w:rFonts w:hint="eastAsia" w:ascii="仿宋" w:hAnsi="仿宋" w:eastAsia="仿宋" w:cs="仿宋"/>
        </w:rPr>
        <w:t xml:space="preserve">24.响应文件的澄清 </w:t>
      </w:r>
    </w:p>
    <w:p>
      <w:pPr>
        <w:pStyle w:val="27"/>
        <w:spacing w:after="0" w:line="480" w:lineRule="auto"/>
        <w:rPr>
          <w:rFonts w:ascii="仿宋" w:hAnsi="仿宋" w:eastAsia="仿宋" w:cs="仿宋"/>
        </w:rPr>
      </w:pPr>
      <w:r>
        <w:rPr>
          <w:rFonts w:hint="eastAsia" w:ascii="仿宋" w:hAnsi="仿宋" w:eastAsia="仿宋" w:cs="仿宋"/>
        </w:rPr>
        <w:t xml:space="preserve">24.1 为有助于对响应文件进行审查，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pPr>
        <w:pStyle w:val="27"/>
        <w:spacing w:after="0" w:line="480" w:lineRule="auto"/>
        <w:rPr>
          <w:rFonts w:ascii="仿宋" w:hAnsi="仿宋" w:eastAsia="仿宋" w:cs="仿宋"/>
        </w:rPr>
      </w:pPr>
      <w:r>
        <w:rPr>
          <w:rFonts w:hint="eastAsia" w:ascii="仿宋" w:hAnsi="仿宋" w:eastAsia="仿宋" w:cs="仿宋"/>
        </w:rPr>
        <w:t xml:space="preserve">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 </w:t>
      </w:r>
    </w:p>
    <w:p>
      <w:pPr>
        <w:pStyle w:val="27"/>
        <w:spacing w:after="0" w:line="480" w:lineRule="auto"/>
        <w:rPr>
          <w:rFonts w:ascii="仿宋" w:hAnsi="仿宋" w:eastAsia="仿宋" w:cs="仿宋"/>
        </w:rPr>
      </w:pPr>
      <w:r>
        <w:rPr>
          <w:rFonts w:hint="eastAsia" w:ascii="仿宋" w:hAnsi="仿宋" w:eastAsia="仿宋" w:cs="仿宋"/>
        </w:rPr>
        <w:t xml:space="preserve">供应商澄清、说明或者补正的内容构成响应文件的组成部分。供应商拒不按照要求对响应文件进行澄清、说明或者补正的，磋商小组可拒绝该报价。 </w:t>
      </w:r>
    </w:p>
    <w:p>
      <w:pPr>
        <w:pStyle w:val="27"/>
        <w:spacing w:after="0" w:line="480" w:lineRule="auto"/>
        <w:rPr>
          <w:rFonts w:ascii="仿宋" w:hAnsi="仿宋" w:eastAsia="仿宋" w:cs="仿宋"/>
        </w:rPr>
      </w:pPr>
      <w:r>
        <w:rPr>
          <w:rFonts w:hint="eastAsia" w:ascii="仿宋" w:hAnsi="仿宋" w:eastAsia="仿宋" w:cs="仿宋"/>
        </w:rPr>
        <w:t xml:space="preserve">24.2 如磋商小组一致认为某个供应商的报价明显不合理，有降低质量、不能诚信履行的可能时，磋商小组有权决定是否通知供应商限期进行书面解释或提供相关证明材料。若已要求，而该供应商在规定期限内未做出解释、作出的解释不合理或不能提供证明材料的，经磋商小组取得一致意见后，可拒绝该报价。 </w:t>
      </w:r>
    </w:p>
    <w:p>
      <w:pPr>
        <w:pStyle w:val="27"/>
        <w:spacing w:after="0" w:line="480" w:lineRule="auto"/>
        <w:rPr>
          <w:rFonts w:ascii="仿宋" w:hAnsi="仿宋" w:eastAsia="仿宋" w:cs="仿宋"/>
        </w:rPr>
      </w:pPr>
      <w:r>
        <w:rPr>
          <w:rFonts w:hint="eastAsia" w:ascii="仿宋" w:hAnsi="仿宋" w:eastAsia="仿宋" w:cs="仿宋"/>
        </w:rPr>
        <w:t xml:space="preserve">25.综合评审 </w:t>
      </w:r>
    </w:p>
    <w:p>
      <w:pPr>
        <w:pStyle w:val="27"/>
        <w:spacing w:after="0" w:line="480" w:lineRule="auto"/>
        <w:rPr>
          <w:rFonts w:ascii="仿宋" w:hAnsi="仿宋" w:eastAsia="仿宋" w:cs="仿宋"/>
        </w:rPr>
      </w:pPr>
      <w:r>
        <w:rPr>
          <w:rFonts w:hint="eastAsia" w:ascii="仿宋" w:hAnsi="仿宋" w:eastAsia="仿宋" w:cs="仿宋"/>
        </w:rPr>
        <w:t xml:space="preserve">25.1 经初审合格的响应文件，磋商小组将根据磋商文件确定的评审方法做进一步评定。 </w:t>
      </w:r>
    </w:p>
    <w:p>
      <w:pPr>
        <w:pStyle w:val="27"/>
        <w:spacing w:after="0" w:line="480" w:lineRule="auto"/>
        <w:rPr>
          <w:rFonts w:ascii="仿宋" w:hAnsi="仿宋" w:eastAsia="仿宋" w:cs="仿宋"/>
        </w:rPr>
      </w:pPr>
      <w:r>
        <w:rPr>
          <w:rFonts w:hint="eastAsia" w:ascii="仿宋" w:hAnsi="仿宋" w:eastAsia="仿宋" w:cs="仿宋"/>
        </w:rPr>
        <w:t xml:space="preserve">磋商小组严格按照采购文件的要求和条件进行综合分析，比较报价，同时考虑以下因素： </w:t>
      </w:r>
    </w:p>
    <w:p>
      <w:pPr>
        <w:pStyle w:val="27"/>
        <w:spacing w:after="0" w:line="480" w:lineRule="auto"/>
        <w:rPr>
          <w:rFonts w:ascii="仿宋" w:hAnsi="仿宋" w:eastAsia="仿宋" w:cs="仿宋"/>
          <w:highlight w:val="none"/>
        </w:rPr>
      </w:pPr>
      <w:r>
        <w:rPr>
          <w:rFonts w:hint="eastAsia" w:ascii="仿宋" w:hAnsi="仿宋" w:eastAsia="仿宋" w:cs="仿宋"/>
          <w:highlight w:val="none"/>
        </w:rPr>
        <w:t xml:space="preserve">1) 最终报价； </w:t>
      </w:r>
    </w:p>
    <w:p>
      <w:pPr>
        <w:pStyle w:val="27"/>
        <w:spacing w:after="0" w:line="480" w:lineRule="auto"/>
        <w:rPr>
          <w:rFonts w:ascii="仿宋" w:hAnsi="仿宋" w:eastAsia="仿宋" w:cs="仿宋"/>
          <w:highlight w:val="none"/>
        </w:rPr>
      </w:pPr>
      <w:r>
        <w:rPr>
          <w:rFonts w:hint="eastAsia" w:ascii="仿宋" w:hAnsi="仿宋" w:eastAsia="仿宋" w:cs="仿宋"/>
          <w:highlight w:val="none"/>
        </w:rPr>
        <w:t xml:space="preserve">2) 整体服务方案的合理性、先进性； </w:t>
      </w:r>
    </w:p>
    <w:p>
      <w:pPr>
        <w:pStyle w:val="27"/>
        <w:spacing w:after="0" w:line="480" w:lineRule="auto"/>
        <w:rPr>
          <w:rFonts w:ascii="仿宋" w:hAnsi="仿宋" w:eastAsia="仿宋" w:cs="仿宋"/>
          <w:highlight w:val="none"/>
        </w:rPr>
      </w:pPr>
      <w:r>
        <w:rPr>
          <w:rFonts w:hint="eastAsia" w:ascii="仿宋" w:hAnsi="仿宋" w:eastAsia="仿宋" w:cs="仿宋"/>
          <w:highlight w:val="none"/>
        </w:rPr>
        <w:t xml:space="preserve">3) 商务细微偏离； </w:t>
      </w:r>
    </w:p>
    <w:p>
      <w:pPr>
        <w:pStyle w:val="27"/>
        <w:spacing w:after="0" w:line="480" w:lineRule="auto"/>
        <w:rPr>
          <w:rFonts w:ascii="仿宋" w:hAnsi="仿宋" w:eastAsia="仿宋" w:cs="仿宋"/>
          <w:highlight w:val="none"/>
        </w:rPr>
      </w:pPr>
      <w:r>
        <w:rPr>
          <w:rFonts w:hint="eastAsia" w:ascii="仿宋" w:hAnsi="仿宋" w:eastAsia="仿宋" w:cs="仿宋"/>
          <w:highlight w:val="none"/>
        </w:rPr>
        <w:t xml:space="preserve">4) 供应商资信情况和履约能力； </w:t>
      </w:r>
    </w:p>
    <w:p>
      <w:pPr>
        <w:pStyle w:val="27"/>
        <w:spacing w:after="0" w:line="48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5</w:t>
      </w:r>
      <w:r>
        <w:rPr>
          <w:rFonts w:hint="eastAsia" w:ascii="仿宋" w:hAnsi="仿宋" w:eastAsia="仿宋" w:cs="仿宋"/>
          <w:highlight w:val="none"/>
        </w:rPr>
        <w:t>) 其他</w:t>
      </w:r>
      <w:r>
        <w:rPr>
          <w:rFonts w:hint="eastAsia" w:ascii="仿宋" w:hAnsi="仿宋" w:eastAsia="仿宋" w:cs="仿宋"/>
          <w:highlight w:val="none"/>
          <w:lang w:eastAsia="zh-CN"/>
        </w:rPr>
        <w:t>。</w:t>
      </w:r>
    </w:p>
    <w:p>
      <w:pPr>
        <w:pStyle w:val="27"/>
        <w:spacing w:after="0" w:line="480" w:lineRule="auto"/>
        <w:rPr>
          <w:rFonts w:ascii="仿宋" w:hAnsi="仿宋" w:eastAsia="仿宋" w:cs="仿宋"/>
        </w:rPr>
      </w:pPr>
      <w:r>
        <w:rPr>
          <w:rFonts w:hint="eastAsia" w:ascii="仿宋" w:hAnsi="仿宋" w:eastAsia="仿宋" w:cs="仿宋"/>
        </w:rPr>
        <w:t xml:space="preserve">25.2 磋商小组采用综合评分法。综合评分法，是指响应文件满足磋商文件全部实质性要求且按评审因素的量化指标评审得分最高的供应商为成交候选供应商的评审方法。 </w:t>
      </w:r>
    </w:p>
    <w:p>
      <w:pPr>
        <w:pStyle w:val="27"/>
        <w:spacing w:after="0" w:line="480" w:lineRule="auto"/>
        <w:rPr>
          <w:rFonts w:ascii="仿宋" w:hAnsi="仿宋" w:eastAsia="仿宋" w:cs="仿宋"/>
        </w:rPr>
      </w:pPr>
      <w:r>
        <w:rPr>
          <w:rFonts w:hint="eastAsia" w:ascii="仿宋" w:hAnsi="仿宋" w:eastAsia="仿宋" w:cs="仿宋"/>
        </w:rPr>
        <w:t xml:space="preserve">25.3 无论在评审过程中或其他任何时侯发现下列情形之一的，报价将被拒绝，采购代理机构有权依法追究供应商的法律责任。 </w:t>
      </w:r>
    </w:p>
    <w:p>
      <w:pPr>
        <w:pStyle w:val="27"/>
        <w:spacing w:after="0" w:line="480" w:lineRule="auto"/>
        <w:rPr>
          <w:rFonts w:ascii="仿宋" w:hAnsi="仿宋" w:eastAsia="仿宋" w:cs="仿宋"/>
        </w:rPr>
      </w:pPr>
      <w:r>
        <w:rPr>
          <w:rFonts w:hint="eastAsia" w:ascii="仿宋" w:hAnsi="仿宋" w:eastAsia="仿宋" w:cs="仿宋"/>
        </w:rPr>
        <w:t xml:space="preserve">1) 提供虚假材料谋取成交的； </w:t>
      </w:r>
    </w:p>
    <w:p>
      <w:pPr>
        <w:pStyle w:val="27"/>
        <w:spacing w:after="0" w:line="480" w:lineRule="auto"/>
        <w:rPr>
          <w:rFonts w:ascii="仿宋" w:hAnsi="仿宋" w:eastAsia="仿宋" w:cs="仿宋"/>
        </w:rPr>
      </w:pPr>
      <w:r>
        <w:rPr>
          <w:rFonts w:hint="eastAsia" w:ascii="仿宋" w:hAnsi="仿宋" w:eastAsia="仿宋" w:cs="仿宋"/>
        </w:rPr>
        <w:t xml:space="preserve">2) 采取不正当手段诋毁、排挤其他供应商的； </w:t>
      </w:r>
    </w:p>
    <w:p>
      <w:pPr>
        <w:pStyle w:val="27"/>
        <w:spacing w:after="0" w:line="480" w:lineRule="auto"/>
        <w:rPr>
          <w:rFonts w:ascii="仿宋" w:hAnsi="仿宋" w:eastAsia="仿宋" w:cs="仿宋"/>
        </w:rPr>
      </w:pPr>
      <w:r>
        <w:rPr>
          <w:rFonts w:hint="eastAsia" w:ascii="仿宋" w:hAnsi="仿宋" w:eastAsia="仿宋" w:cs="仿宋"/>
        </w:rPr>
        <w:t xml:space="preserve">3) 恶意串通报价的； </w:t>
      </w:r>
    </w:p>
    <w:p>
      <w:pPr>
        <w:pStyle w:val="27"/>
        <w:spacing w:after="0" w:line="480" w:lineRule="auto"/>
        <w:rPr>
          <w:rFonts w:ascii="仿宋" w:hAnsi="仿宋" w:eastAsia="仿宋" w:cs="仿宋"/>
        </w:rPr>
      </w:pPr>
      <w:r>
        <w:rPr>
          <w:rFonts w:hint="eastAsia" w:ascii="仿宋" w:hAnsi="仿宋" w:eastAsia="仿宋" w:cs="仿宋"/>
        </w:rPr>
        <w:t xml:space="preserve">4) 其他任何有企图影响磋商结果公正性的活动。 </w:t>
      </w:r>
    </w:p>
    <w:p>
      <w:pPr>
        <w:pStyle w:val="27"/>
        <w:spacing w:after="0" w:line="480" w:lineRule="auto"/>
        <w:rPr>
          <w:rFonts w:ascii="仿宋" w:hAnsi="仿宋" w:eastAsia="仿宋" w:cs="仿宋"/>
        </w:rPr>
      </w:pPr>
      <w:r>
        <w:rPr>
          <w:rFonts w:hint="eastAsia" w:ascii="仿宋" w:hAnsi="仿宋" w:eastAsia="仿宋" w:cs="仿宋"/>
        </w:rPr>
        <w:t xml:space="preserve">26.确定成交供应商 </w:t>
      </w:r>
    </w:p>
    <w:p>
      <w:pPr>
        <w:pStyle w:val="27"/>
        <w:spacing w:after="0" w:line="480" w:lineRule="auto"/>
        <w:rPr>
          <w:rFonts w:ascii="仿宋" w:hAnsi="仿宋" w:eastAsia="仿宋" w:cs="仿宋"/>
        </w:rPr>
      </w:pPr>
      <w:r>
        <w:rPr>
          <w:rFonts w:hint="eastAsia" w:ascii="仿宋" w:hAnsi="仿宋" w:eastAsia="仿宋" w:cs="仿宋"/>
        </w:rPr>
        <w:t>磋商小组根据综合打分结果，根据采购人的授权直接确定成交供应商或确定成交供应商候选人。</w:t>
      </w:r>
    </w:p>
    <w:p>
      <w:pPr>
        <w:pStyle w:val="27"/>
        <w:spacing w:after="0" w:line="480" w:lineRule="auto"/>
        <w:rPr>
          <w:rFonts w:ascii="仿宋" w:hAnsi="仿宋" w:eastAsia="仿宋" w:cs="仿宋"/>
        </w:rPr>
      </w:pPr>
      <w:r>
        <w:rPr>
          <w:rFonts w:hint="eastAsia" w:ascii="仿宋" w:hAnsi="仿宋" w:eastAsia="仿宋" w:cs="仿宋"/>
        </w:rPr>
        <w:t xml:space="preserve">27.评审过程保密 </w:t>
      </w:r>
    </w:p>
    <w:p>
      <w:pPr>
        <w:pStyle w:val="27"/>
        <w:spacing w:after="0" w:line="480" w:lineRule="auto"/>
        <w:rPr>
          <w:rFonts w:ascii="仿宋" w:hAnsi="仿宋" w:eastAsia="仿宋" w:cs="仿宋"/>
        </w:rPr>
      </w:pPr>
      <w:r>
        <w:rPr>
          <w:rFonts w:hint="eastAsia" w:ascii="仿宋" w:hAnsi="仿宋" w:eastAsia="仿宋" w:cs="仿宋"/>
        </w:rPr>
        <w:t xml:space="preserve">开启之后，直到签订合同止，凡是属于审查、澄清、评价和比较报价的有关资料以及成交意向等，均不向供应商或者其他与评审无关的人员透露。 </w:t>
      </w:r>
    </w:p>
    <w:p>
      <w:pPr>
        <w:pStyle w:val="27"/>
        <w:spacing w:after="0" w:line="480" w:lineRule="auto"/>
        <w:rPr>
          <w:rFonts w:ascii="仿宋" w:hAnsi="仿宋" w:eastAsia="仿宋" w:cs="仿宋"/>
        </w:rPr>
      </w:pPr>
      <w:r>
        <w:rPr>
          <w:rFonts w:hint="eastAsia" w:ascii="仿宋" w:hAnsi="仿宋" w:eastAsia="仿宋" w:cs="仿宋"/>
        </w:rPr>
        <w:t xml:space="preserve">28.供应商瑕疵滞后的处理 </w:t>
      </w:r>
    </w:p>
    <w:p>
      <w:pPr>
        <w:pStyle w:val="27"/>
        <w:spacing w:after="0" w:line="480" w:lineRule="auto"/>
        <w:rPr>
          <w:rFonts w:ascii="仿宋" w:hAnsi="仿宋" w:eastAsia="仿宋" w:cs="仿宋"/>
        </w:rPr>
      </w:pPr>
      <w:r>
        <w:rPr>
          <w:rFonts w:hint="eastAsia" w:ascii="仿宋" w:hAnsi="仿宋" w:eastAsia="仿宋" w:cs="仿宋"/>
        </w:rPr>
        <w:t xml:space="preserve">28.1 无论基于何种原因，各项本应作拒绝处理的情形即便未被及时发现而使该供应商进入初审、综合评审或其它后续程序，包括已经签订合同的情形，一旦在任何时间被发现存在上述情形，则采购代理机构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 </w:t>
      </w:r>
    </w:p>
    <w:p>
      <w:pPr>
        <w:pStyle w:val="27"/>
        <w:spacing w:after="0" w:line="480" w:lineRule="auto"/>
        <w:rPr>
          <w:rFonts w:ascii="仿宋" w:hAnsi="仿宋" w:eastAsia="仿宋" w:cs="仿宋"/>
        </w:rPr>
      </w:pPr>
      <w:r>
        <w:rPr>
          <w:rFonts w:hint="eastAsia" w:ascii="仿宋" w:hAnsi="仿宋" w:eastAsia="仿宋" w:cs="仿宋"/>
        </w:rPr>
        <w:t xml:space="preserve">28.2 若已经超过质疑期限而没有被发现且已经签订了相关的合同，之后才发现存在上述情形，经磋商小组/采购代理机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采购代理机构有权要求该存在瑕疵的供应商提供特别担保金用以承担可能产生的赔偿责任，若其拒绝提供该等担保或所实际提供的担保金额不足要求金额，磋商小组/采购代理机构有权并且应当决定取消供应商的此前评议结果或采取类似效果的措施。 </w:t>
      </w:r>
    </w:p>
    <w:p>
      <w:pPr>
        <w:pStyle w:val="27"/>
        <w:spacing w:after="0" w:line="480" w:lineRule="auto"/>
        <w:rPr>
          <w:rFonts w:ascii="仿宋" w:hAnsi="仿宋" w:eastAsia="仿宋" w:cs="仿宋"/>
        </w:rPr>
      </w:pPr>
      <w:r>
        <w:rPr>
          <w:rFonts w:hint="eastAsia" w:ascii="仿宋" w:hAnsi="仿宋" w:eastAsia="仿宋" w:cs="仿宋"/>
        </w:rPr>
        <w:t xml:space="preserve">29.特殊情况下的处理方法 </w:t>
      </w:r>
    </w:p>
    <w:p>
      <w:pPr>
        <w:pStyle w:val="27"/>
        <w:spacing w:after="0" w:line="480" w:lineRule="auto"/>
        <w:rPr>
          <w:rFonts w:ascii="仿宋" w:hAnsi="仿宋" w:eastAsia="仿宋" w:cs="仿宋"/>
        </w:rPr>
      </w:pPr>
      <w:r>
        <w:rPr>
          <w:rFonts w:hint="eastAsia" w:ascii="仿宋" w:hAnsi="仿宋" w:eastAsia="仿宋" w:cs="仿宋"/>
        </w:rPr>
        <w:t>根据采购法律法规的有关规定，出现下列情形之一的，磋商小组将否决所有供应商的报价。</w:t>
      </w:r>
    </w:p>
    <w:p>
      <w:pPr>
        <w:pStyle w:val="27"/>
        <w:spacing w:after="0" w:line="480" w:lineRule="auto"/>
        <w:rPr>
          <w:rFonts w:ascii="仿宋" w:hAnsi="仿宋" w:eastAsia="仿宋" w:cs="仿宋"/>
        </w:rPr>
      </w:pPr>
      <w:r>
        <w:rPr>
          <w:rFonts w:hint="eastAsia" w:ascii="仿宋" w:hAnsi="仿宋" w:eastAsia="仿宋" w:cs="仿宋"/>
        </w:rPr>
        <w:t xml:space="preserve">1）出现影响采购公正的违法、违规行为的； </w:t>
      </w:r>
    </w:p>
    <w:p>
      <w:pPr>
        <w:pStyle w:val="27"/>
        <w:spacing w:after="0" w:line="480" w:lineRule="auto"/>
        <w:rPr>
          <w:rFonts w:ascii="仿宋" w:hAnsi="仿宋" w:eastAsia="仿宋" w:cs="仿宋"/>
        </w:rPr>
      </w:pPr>
      <w:r>
        <w:rPr>
          <w:rFonts w:hint="eastAsia" w:ascii="仿宋" w:hAnsi="仿宋" w:eastAsia="仿宋" w:cs="仿宋"/>
        </w:rPr>
        <w:t xml:space="preserve">2) 供应商的最终报价均超过了采购预算； </w:t>
      </w:r>
    </w:p>
    <w:p>
      <w:pPr>
        <w:pStyle w:val="27"/>
        <w:spacing w:after="0" w:line="480" w:lineRule="auto"/>
        <w:rPr>
          <w:rFonts w:ascii="仿宋" w:hAnsi="仿宋" w:eastAsia="仿宋" w:cs="仿宋"/>
        </w:rPr>
      </w:pPr>
      <w:r>
        <w:rPr>
          <w:rFonts w:hint="eastAsia" w:ascii="仿宋" w:hAnsi="仿宋" w:eastAsia="仿宋" w:cs="仿宋"/>
        </w:rPr>
        <w:t xml:space="preserve">3) 因重大变故，采购任务取消的。 </w:t>
      </w:r>
    </w:p>
    <w:p>
      <w:pPr>
        <w:pStyle w:val="3"/>
        <w:rPr>
          <w:sz w:val="32"/>
          <w:szCs w:val="18"/>
          <w:lang w:val="en-US" w:eastAsia="zh-CN"/>
        </w:rPr>
      </w:pPr>
      <w:bookmarkStart w:id="7" w:name="_Toc24775"/>
      <w:r>
        <w:rPr>
          <w:rFonts w:hint="eastAsia"/>
          <w:sz w:val="32"/>
          <w:szCs w:val="18"/>
          <w:lang w:val="en-US" w:eastAsia="zh-CN"/>
        </w:rPr>
        <w:t>六、授予合同</w:t>
      </w:r>
      <w:bookmarkEnd w:id="7"/>
    </w:p>
    <w:p>
      <w:pPr>
        <w:pStyle w:val="27"/>
        <w:spacing w:after="0" w:line="480" w:lineRule="auto"/>
        <w:rPr>
          <w:rFonts w:ascii="仿宋" w:hAnsi="仿宋" w:eastAsia="仿宋" w:cs="仿宋"/>
        </w:rPr>
      </w:pPr>
      <w:r>
        <w:rPr>
          <w:rFonts w:hint="eastAsia" w:ascii="仿宋" w:hAnsi="仿宋" w:eastAsia="仿宋" w:cs="仿宋"/>
        </w:rPr>
        <w:t xml:space="preserve">30.成交通知 </w:t>
      </w:r>
    </w:p>
    <w:p>
      <w:pPr>
        <w:pStyle w:val="27"/>
        <w:spacing w:after="0" w:line="480" w:lineRule="auto"/>
        <w:rPr>
          <w:rFonts w:ascii="仿宋" w:hAnsi="仿宋" w:eastAsia="仿宋" w:cs="仿宋"/>
        </w:rPr>
      </w:pPr>
      <w:r>
        <w:rPr>
          <w:rFonts w:hint="eastAsia" w:ascii="仿宋" w:hAnsi="仿宋" w:eastAsia="仿宋" w:cs="仿宋"/>
        </w:rPr>
        <w:t>30.1 成交供应商确定后</w:t>
      </w:r>
      <w:r>
        <w:rPr>
          <w:rFonts w:hint="eastAsia" w:ascii="仿宋" w:hAnsi="仿宋" w:eastAsia="仿宋" w:cs="仿宋"/>
          <w:highlight w:val="none"/>
        </w:rPr>
        <w:t>将在</w:t>
      </w:r>
      <w:r>
        <w:rPr>
          <w:rFonts w:hint="eastAsia" w:ascii="仿宋" w:hAnsi="仿宋" w:eastAsia="仿宋" w:cs="仿宋"/>
          <w:highlight w:val="none"/>
          <w:lang w:val="en-US" w:eastAsia="zh-CN"/>
        </w:rPr>
        <w:t>采购公告发布网站</w:t>
      </w:r>
      <w:r>
        <w:rPr>
          <w:rFonts w:hint="eastAsia" w:ascii="仿宋" w:hAnsi="仿宋" w:eastAsia="仿宋" w:cs="仿宋"/>
          <w:highlight w:val="none"/>
        </w:rPr>
        <w:t>上发布成交公告，不再以</w:t>
      </w:r>
      <w:r>
        <w:rPr>
          <w:rFonts w:hint="eastAsia" w:ascii="仿宋" w:hAnsi="仿宋" w:eastAsia="仿宋" w:cs="仿宋"/>
        </w:rPr>
        <w:t xml:space="preserve">书面方式通知未成交供应商。采购代理机构对未成交的供应商不作未成交原因的解释。 </w:t>
      </w:r>
    </w:p>
    <w:p>
      <w:pPr>
        <w:pStyle w:val="27"/>
        <w:spacing w:after="0" w:line="480" w:lineRule="auto"/>
        <w:rPr>
          <w:rFonts w:ascii="仿宋" w:hAnsi="仿宋" w:eastAsia="仿宋" w:cs="仿宋"/>
        </w:rPr>
      </w:pPr>
      <w:r>
        <w:rPr>
          <w:rFonts w:hint="eastAsia" w:ascii="仿宋" w:hAnsi="仿宋" w:eastAsia="仿宋" w:cs="仿宋"/>
        </w:rPr>
        <w:t xml:space="preserve">30.2 在报价有效期内且发布成交公告的同时，采购单位、采购代理机构将联合向成交供应商签发《成交通知书》。《成交通知书》是合同的一个组成部分。 </w:t>
      </w:r>
    </w:p>
    <w:p>
      <w:pPr>
        <w:pStyle w:val="27"/>
        <w:spacing w:after="0" w:line="480" w:lineRule="auto"/>
        <w:rPr>
          <w:rFonts w:ascii="仿宋" w:hAnsi="仿宋" w:eastAsia="仿宋" w:cs="仿宋"/>
        </w:rPr>
      </w:pPr>
      <w:r>
        <w:rPr>
          <w:rFonts w:hint="eastAsia" w:ascii="仿宋" w:hAnsi="仿宋" w:eastAsia="仿宋" w:cs="仿宋"/>
        </w:rPr>
        <w:t xml:space="preserve">30.3《成交通知书》发出后，采购单位改变成交结果，或者成交供应商放弃成交项目的，应当依法承担法律责任。 </w:t>
      </w:r>
    </w:p>
    <w:p>
      <w:pPr>
        <w:pStyle w:val="27"/>
        <w:spacing w:after="0" w:line="480" w:lineRule="auto"/>
        <w:rPr>
          <w:rFonts w:ascii="仿宋" w:hAnsi="仿宋" w:eastAsia="仿宋" w:cs="仿宋"/>
        </w:rPr>
      </w:pPr>
      <w:r>
        <w:rPr>
          <w:rFonts w:hint="eastAsia" w:ascii="仿宋" w:hAnsi="仿宋" w:eastAsia="仿宋" w:cs="仿宋"/>
        </w:rPr>
        <w:t xml:space="preserve">31. 签订合同 </w:t>
      </w:r>
    </w:p>
    <w:p>
      <w:pPr>
        <w:pStyle w:val="27"/>
        <w:spacing w:after="0" w:line="480" w:lineRule="auto"/>
        <w:rPr>
          <w:rFonts w:hint="eastAsia" w:ascii="仿宋" w:hAnsi="仿宋" w:eastAsia="仿宋" w:cs="仿宋"/>
        </w:rPr>
      </w:pPr>
      <w:r>
        <w:rPr>
          <w:rFonts w:hint="eastAsia" w:ascii="仿宋" w:hAnsi="仿宋" w:eastAsia="仿宋" w:cs="仿宋"/>
        </w:rPr>
        <w:t>31.1《成交通知书》发出之日起 10 个工作日内，按照竞争性磋商文件确定的事项签订合同。</w:t>
      </w:r>
    </w:p>
    <w:p>
      <w:pPr>
        <w:pStyle w:val="27"/>
        <w:spacing w:after="0" w:line="480" w:lineRule="auto"/>
        <w:rPr>
          <w:rFonts w:hint="eastAsia" w:ascii="仿宋" w:hAnsi="仿宋" w:eastAsia="仿宋" w:cs="仿宋"/>
        </w:rPr>
      </w:pPr>
      <w:r>
        <w:rPr>
          <w:rFonts w:hint="eastAsia" w:ascii="仿宋" w:hAnsi="仿宋" w:eastAsia="仿宋" w:cs="仿宋"/>
        </w:rPr>
        <w:t xml:space="preserve">31.2 竞争性磋商文件、成交供应商的报价文件以及评审过程中的有关澄清、承诺文件均为合同的组成部分。 </w:t>
      </w:r>
    </w:p>
    <w:p>
      <w:pPr>
        <w:pStyle w:val="27"/>
        <w:spacing w:after="0" w:line="480" w:lineRule="auto"/>
        <w:rPr>
          <w:rFonts w:hint="eastAsia" w:ascii="仿宋" w:hAnsi="仿宋" w:eastAsia="仿宋" w:cs="仿宋"/>
        </w:rPr>
      </w:pPr>
      <w:r>
        <w:rPr>
          <w:rFonts w:hint="eastAsia" w:ascii="仿宋" w:hAnsi="仿宋" w:eastAsia="仿宋" w:cs="仿宋"/>
        </w:rPr>
        <w:t xml:space="preserve">31.3 不按约定签订或履行合同，给对方造成损失的，应承担赔偿责任。 </w:t>
      </w:r>
    </w:p>
    <w:p>
      <w:pPr>
        <w:pStyle w:val="27"/>
        <w:spacing w:after="0" w:line="480" w:lineRule="auto"/>
        <w:rPr>
          <w:rFonts w:ascii="仿宋" w:hAnsi="仿宋" w:eastAsia="仿宋" w:cs="仿宋"/>
        </w:rPr>
      </w:pPr>
      <w:r>
        <w:rPr>
          <w:rFonts w:hint="eastAsia" w:ascii="仿宋" w:hAnsi="仿宋" w:eastAsia="仿宋" w:cs="仿宋"/>
        </w:rPr>
        <w:t xml:space="preserve">31.4 合同期满后甲方根据各成交供应商在合同有效期限内的服务质量等情况，有权选择服务态度好、服务质量优的成交供应商进行续签合同。 </w:t>
      </w:r>
    </w:p>
    <w:p>
      <w:pPr>
        <w:pStyle w:val="3"/>
        <w:rPr>
          <w:sz w:val="32"/>
          <w:szCs w:val="32"/>
          <w:lang w:val="en-US" w:eastAsia="zh-CN"/>
        </w:rPr>
      </w:pPr>
      <w:bookmarkStart w:id="8" w:name="_Toc26247"/>
      <w:r>
        <w:rPr>
          <w:rFonts w:hint="eastAsia"/>
          <w:sz w:val="32"/>
          <w:szCs w:val="32"/>
          <w:lang w:val="en-US" w:eastAsia="zh-CN"/>
        </w:rPr>
        <w:t>七、成交服务费</w:t>
      </w:r>
      <w:bookmarkEnd w:id="8"/>
    </w:p>
    <w:p>
      <w:pPr>
        <w:pStyle w:val="27"/>
        <w:spacing w:after="0" w:line="480" w:lineRule="auto"/>
        <w:rPr>
          <w:rFonts w:hint="eastAsia" w:ascii="仿宋" w:hAnsi="仿宋" w:eastAsia="仿宋" w:cs="仿宋"/>
          <w:lang w:val="en-US" w:eastAsia="zh-CN"/>
        </w:rPr>
      </w:pPr>
      <w:bookmarkStart w:id="9" w:name="_Toc13810"/>
      <w:r>
        <w:rPr>
          <w:rFonts w:hint="eastAsia" w:ascii="仿宋" w:hAnsi="仿宋" w:eastAsia="仿宋" w:cs="仿宋"/>
        </w:rPr>
        <w:t>32.</w:t>
      </w:r>
      <w:r>
        <w:rPr>
          <w:rFonts w:hint="eastAsia" w:ascii="仿宋" w:hAnsi="仿宋" w:eastAsia="仿宋" w:cs="仿宋"/>
          <w:lang w:val="en-US" w:eastAsia="zh-CN"/>
        </w:rPr>
        <w:t>成交服务费：</w:t>
      </w:r>
    </w:p>
    <w:tbl>
      <w:tblPr>
        <w:tblStyle w:val="2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901"/>
        <w:gridCol w:w="4411"/>
        <w:gridCol w:w="49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6" w:hRule="atLeast"/>
          <w:jc w:val="center"/>
        </w:trPr>
        <w:tc>
          <w:tcPr>
            <w:tcW w:w="439" w:type="pct"/>
            <w:noWrap w:val="0"/>
            <w:vAlign w:val="center"/>
          </w:tcPr>
          <w:p>
            <w:pPr>
              <w:spacing w:line="0" w:lineRule="atLeas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2149" w:type="pct"/>
            <w:noWrap w:val="0"/>
            <w:vAlign w:val="center"/>
          </w:tcPr>
          <w:p>
            <w:pPr>
              <w:spacing w:line="0" w:lineRule="atLeast"/>
              <w:jc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招标代理金额范围（单次招标）</w:t>
            </w:r>
          </w:p>
        </w:tc>
        <w:tc>
          <w:tcPr>
            <w:tcW w:w="2411" w:type="pct"/>
            <w:noWrap w:val="0"/>
            <w:vAlign w:val="center"/>
          </w:tcPr>
          <w:p>
            <w:pPr>
              <w:spacing w:line="0" w:lineRule="atLeast"/>
              <w:jc w:val="center"/>
              <w:rPr>
                <w:rFonts w:hint="eastAsia" w:ascii="仿宋" w:hAnsi="仿宋" w:eastAsia="仿宋" w:cs="仿宋"/>
                <w:b/>
                <w:bCs/>
                <w:color w:val="000000"/>
                <w:sz w:val="24"/>
                <w:szCs w:val="24"/>
              </w:rPr>
            </w:pPr>
            <w:r>
              <w:rPr>
                <w:rFonts w:hint="eastAsia" w:ascii="仿宋" w:hAnsi="仿宋" w:eastAsia="仿宋" w:cs="仿宋"/>
                <w:b/>
                <w:color w:val="000000"/>
                <w:sz w:val="24"/>
                <w:szCs w:val="24"/>
                <w:lang w:eastAsia="en-US"/>
              </w:rPr>
              <w:t>招标代理费取费标准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0" w:hRule="atLeast"/>
          <w:jc w:val="center"/>
        </w:trPr>
        <w:tc>
          <w:tcPr>
            <w:tcW w:w="439" w:type="pct"/>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149" w:type="pct"/>
            <w:noWrap w:val="0"/>
            <w:vAlign w:val="center"/>
          </w:tcPr>
          <w:p>
            <w:pPr>
              <w:spacing w:line="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en-US"/>
              </w:rPr>
              <w:t>50万元（含）以下</w:t>
            </w:r>
          </w:p>
        </w:tc>
        <w:tc>
          <w:tcPr>
            <w:tcW w:w="2411" w:type="pct"/>
            <w:noWrap w:val="0"/>
            <w:vAlign w:val="center"/>
          </w:tcPr>
          <w:p>
            <w:pPr>
              <w:spacing w:line="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yellow"/>
                <w:u w:val="single"/>
              </w:rPr>
              <w:t>3</w:t>
            </w:r>
            <w:r>
              <w:rPr>
                <w:rFonts w:hint="eastAsia" w:ascii="仿宋" w:hAnsi="仿宋" w:eastAsia="仿宋" w:cs="仿宋"/>
                <w:color w:val="000000"/>
                <w:sz w:val="24"/>
                <w:szCs w:val="24"/>
                <w:highlight w:val="yellow"/>
                <w:u w:val="single"/>
                <w:lang w:val="en-US" w:eastAsia="zh-CN"/>
              </w:rPr>
              <w:t>0</w:t>
            </w:r>
            <w:r>
              <w:rPr>
                <w:rFonts w:hint="eastAsia" w:ascii="仿宋" w:hAnsi="仿宋" w:eastAsia="仿宋" w:cs="仿宋"/>
                <w:color w:val="000000"/>
                <w:sz w:val="24"/>
                <w:szCs w:val="24"/>
                <w:highlight w:val="yellow"/>
                <w:u w:val="single"/>
              </w:rPr>
              <w:t>00</w:t>
            </w:r>
            <w:r>
              <w:rPr>
                <w:rFonts w:hint="eastAsia" w:ascii="仿宋" w:hAnsi="仿宋" w:eastAsia="仿宋" w:cs="仿宋"/>
                <w:color w:val="000000"/>
                <w:sz w:val="24"/>
                <w:szCs w:val="24"/>
                <w:highlight w:val="yellow"/>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29" w:hRule="atLeast"/>
          <w:jc w:val="center"/>
        </w:trPr>
        <w:tc>
          <w:tcPr>
            <w:tcW w:w="439" w:type="pct"/>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149" w:type="pct"/>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en-US"/>
              </w:rPr>
              <w:t>50万元以上-100万元（含）</w:t>
            </w:r>
          </w:p>
        </w:tc>
        <w:tc>
          <w:tcPr>
            <w:tcW w:w="2411" w:type="pct"/>
            <w:noWrap w:val="0"/>
            <w:vAlign w:val="center"/>
          </w:tcPr>
          <w:p>
            <w:pPr>
              <w:spacing w:line="0" w:lineRule="atLeas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成交金额的</w:t>
            </w:r>
            <w:r>
              <w:rPr>
                <w:rFonts w:hint="eastAsia" w:ascii="仿宋" w:hAnsi="仿宋" w:eastAsia="仿宋" w:cs="仿宋"/>
                <w:color w:val="000000"/>
                <w:sz w:val="24"/>
                <w:szCs w:val="24"/>
                <w:u w:val="single"/>
                <w:lang w:val="en-US" w:eastAsia="zh-CN"/>
              </w:rPr>
              <w:t>0.7</w:t>
            </w:r>
            <w:r>
              <w:rPr>
                <w:rFonts w:hint="eastAsia" w:ascii="仿宋" w:hAnsi="仿宋" w:eastAsia="仿宋" w:cs="仿宋"/>
                <w:color w:val="000000"/>
                <w:sz w:val="24"/>
                <w:szCs w:val="24"/>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2" w:hRule="atLeast"/>
          <w:jc w:val="center"/>
        </w:trPr>
        <w:tc>
          <w:tcPr>
            <w:tcW w:w="439" w:type="pct"/>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149" w:type="pct"/>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en-US"/>
              </w:rPr>
              <w:t>100万元以上-500万元（含）</w:t>
            </w:r>
          </w:p>
        </w:tc>
        <w:tc>
          <w:tcPr>
            <w:tcW w:w="2411" w:type="pct"/>
            <w:noWrap w:val="0"/>
            <w:vAlign w:val="center"/>
          </w:tcPr>
          <w:p>
            <w:pPr>
              <w:spacing w:line="0" w:lineRule="atLeas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成交金额的</w:t>
            </w:r>
            <w:r>
              <w:rPr>
                <w:rFonts w:hint="eastAsia" w:ascii="仿宋" w:hAnsi="仿宋" w:eastAsia="仿宋" w:cs="仿宋"/>
                <w:color w:val="000000"/>
                <w:sz w:val="24"/>
                <w:szCs w:val="24"/>
                <w:u w:val="single"/>
                <w:lang w:val="en-US" w:eastAsia="zh-CN"/>
              </w:rPr>
              <w:t>0.45</w:t>
            </w:r>
            <w:r>
              <w:rPr>
                <w:rFonts w:hint="eastAsia" w:ascii="仿宋" w:hAnsi="仿宋" w:eastAsia="仿宋" w:cs="仿宋"/>
                <w:color w:val="000000"/>
                <w:sz w:val="24"/>
                <w:szCs w:val="24"/>
                <w:lang w:val="en-US" w:eastAsia="zh-CN"/>
              </w:rPr>
              <w:t>%</w:t>
            </w:r>
          </w:p>
        </w:tc>
      </w:tr>
    </w:tbl>
    <w:p>
      <w:pPr>
        <w:pStyle w:val="3"/>
        <w:rPr>
          <w:sz w:val="32"/>
          <w:szCs w:val="18"/>
          <w:lang w:val="en-US" w:eastAsia="zh-CN"/>
        </w:rPr>
      </w:pPr>
      <w:r>
        <w:rPr>
          <w:rFonts w:hint="eastAsia"/>
          <w:sz w:val="32"/>
          <w:szCs w:val="18"/>
          <w:lang w:val="en-US" w:eastAsia="zh-CN"/>
        </w:rPr>
        <w:t>八、保密和披露</w:t>
      </w:r>
      <w:bookmarkEnd w:id="9"/>
    </w:p>
    <w:p>
      <w:pPr>
        <w:pStyle w:val="27"/>
        <w:spacing w:after="0" w:line="480" w:lineRule="auto"/>
        <w:rPr>
          <w:rFonts w:ascii="仿宋" w:hAnsi="仿宋" w:eastAsia="仿宋" w:cs="仿宋"/>
        </w:rPr>
      </w:pPr>
      <w:r>
        <w:rPr>
          <w:rFonts w:hint="eastAsia" w:ascii="仿宋" w:hAnsi="仿宋" w:eastAsia="仿宋" w:cs="仿宋"/>
        </w:rPr>
        <w:t xml:space="preserve">33. 保密和披露 </w:t>
      </w:r>
    </w:p>
    <w:p>
      <w:pPr>
        <w:pStyle w:val="27"/>
        <w:spacing w:after="0" w:line="480" w:lineRule="auto"/>
        <w:rPr>
          <w:rFonts w:ascii="仿宋" w:hAnsi="仿宋" w:eastAsia="仿宋" w:cs="仿宋"/>
        </w:rPr>
      </w:pPr>
      <w:r>
        <w:rPr>
          <w:rFonts w:hint="eastAsia" w:ascii="仿宋" w:hAnsi="仿宋" w:eastAsia="仿宋" w:cs="仿宋"/>
        </w:rPr>
        <w:t xml:space="preserve">33.1 供应商自领取采购文件之日起，须承担本采购项目下保密义务，不得将因本次采购获得的信息向其他人外传。 </w:t>
      </w:r>
    </w:p>
    <w:p>
      <w:pPr>
        <w:pStyle w:val="27"/>
        <w:spacing w:after="0" w:line="480" w:lineRule="auto"/>
        <w:rPr>
          <w:rFonts w:ascii="仿宋" w:hAnsi="仿宋" w:eastAsia="仿宋" w:cs="仿宋"/>
        </w:rPr>
      </w:pPr>
      <w:r>
        <w:rPr>
          <w:rFonts w:hint="eastAsia" w:ascii="仿宋" w:hAnsi="仿宋" w:eastAsia="仿宋" w:cs="仿宋"/>
        </w:rPr>
        <w:t xml:space="preserve">33.2 采购代理机构有权将供应商提供的所有资料向其他政府部门或有关的非政府机构负责评审的人员或与评审有关的人员披露。 </w:t>
      </w:r>
    </w:p>
    <w:p>
      <w:pPr>
        <w:pStyle w:val="27"/>
        <w:spacing w:after="0" w:line="480" w:lineRule="auto"/>
        <w:rPr>
          <w:rFonts w:ascii="仿宋" w:hAnsi="仿宋" w:eastAsia="仿宋" w:cs="仿宋"/>
        </w:rPr>
      </w:pPr>
      <w:r>
        <w:rPr>
          <w:rFonts w:hint="eastAsia" w:ascii="仿宋" w:hAnsi="仿宋" w:eastAsia="仿宋" w:cs="仿宋"/>
        </w:rPr>
        <w:t xml:space="preserve">33.3 在下列情形下：当发布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 </w:t>
      </w:r>
    </w:p>
    <w:p>
      <w:pPr>
        <w:pStyle w:val="3"/>
        <w:rPr>
          <w:sz w:val="32"/>
          <w:szCs w:val="18"/>
          <w:lang w:val="en-US" w:eastAsia="zh-CN"/>
        </w:rPr>
      </w:pPr>
      <w:bookmarkStart w:id="10" w:name="_Toc15258"/>
      <w:r>
        <w:rPr>
          <w:rFonts w:hint="eastAsia"/>
          <w:sz w:val="32"/>
          <w:szCs w:val="18"/>
          <w:lang w:val="en-US" w:eastAsia="zh-CN"/>
        </w:rPr>
        <w:t>九、解释权</w:t>
      </w:r>
      <w:bookmarkEnd w:id="10"/>
    </w:p>
    <w:p>
      <w:pPr>
        <w:pStyle w:val="27"/>
        <w:spacing w:after="0" w:line="480" w:lineRule="auto"/>
        <w:rPr>
          <w:rFonts w:ascii="仿宋" w:hAnsi="仿宋" w:eastAsia="仿宋" w:cs="仿宋"/>
        </w:rPr>
      </w:pPr>
      <w:r>
        <w:rPr>
          <w:rFonts w:hint="eastAsia" w:ascii="仿宋" w:hAnsi="仿宋" w:eastAsia="仿宋" w:cs="仿宋"/>
        </w:rPr>
        <w:t>本磋商文件的最终解释权归采购代理机构，当对一个问题有多种解释时以采购代理机构的书面解释为准。采购文件未做须知明示，而又有相关法律、法规规定的，采购代理机构对此所做解释以相关的法律、法规规定为依据。</w:t>
      </w:r>
    </w:p>
    <w:p>
      <w:pPr>
        <w:pStyle w:val="27"/>
        <w:rPr>
          <w:lang w:val="ja-JP" w:eastAsia="ja-JP"/>
        </w:rPr>
        <w:sectPr>
          <w:pgSz w:w="11906" w:h="16838"/>
          <w:pgMar w:top="1134" w:right="850" w:bottom="1134" w:left="850" w:header="851" w:footer="992" w:gutter="0"/>
          <w:pgNumType w:fmt="decimal"/>
          <w:cols w:space="425" w:num="1"/>
          <w:docGrid w:type="lines" w:linePitch="312" w:charSpace="0"/>
        </w:sectPr>
      </w:pPr>
    </w:p>
    <w:p>
      <w:pPr>
        <w:pStyle w:val="3"/>
        <w:numPr>
          <w:ilvl w:val="0"/>
          <w:numId w:val="1"/>
        </w:numPr>
        <w:jc w:val="center"/>
        <w:rPr>
          <w:sz w:val="32"/>
          <w:szCs w:val="18"/>
        </w:rPr>
      </w:pPr>
      <w:bookmarkStart w:id="11" w:name="_Toc19734"/>
      <w:r>
        <w:rPr>
          <w:rFonts w:hint="eastAsia"/>
          <w:sz w:val="32"/>
          <w:szCs w:val="18"/>
        </w:rPr>
        <w:t>项目说明</w:t>
      </w:r>
      <w:bookmarkEnd w:id="11"/>
    </w:p>
    <w:p>
      <w:pPr>
        <w:jc w:val="center"/>
        <w:rPr>
          <w:rFonts w:hint="eastAsia" w:ascii="宋体" w:hAnsi="宋体" w:cs="宋体"/>
          <w:b/>
          <w:bCs/>
          <w:color w:val="000000"/>
          <w:sz w:val="30"/>
          <w:szCs w:val="30"/>
        </w:rPr>
      </w:pPr>
      <w:bookmarkStart w:id="12" w:name="_Toc30393"/>
      <w:bookmarkStart w:id="13" w:name="_Toc10396"/>
      <w:r>
        <w:rPr>
          <w:rFonts w:hint="eastAsia" w:ascii="宋体" w:hAnsi="宋体" w:cs="宋体"/>
          <w:b/>
          <w:bCs/>
          <w:color w:val="000000"/>
          <w:sz w:val="30"/>
          <w:szCs w:val="30"/>
        </w:rPr>
        <w:t>2021年中央空调设备维护计划</w:t>
      </w:r>
    </w:p>
    <w:p>
      <w:pPr>
        <w:jc w:val="right"/>
        <w:rPr>
          <w:rFonts w:hint="default" w:ascii="宋体" w:hAnsi="宋体" w:eastAsia="仿宋" w:cs="宋体"/>
          <w:b/>
          <w:bCs/>
          <w:color w:val="000000"/>
          <w:sz w:val="30"/>
          <w:szCs w:val="30"/>
          <w:lang w:val="en-US" w:eastAsia="zh-CN"/>
        </w:rPr>
      </w:pPr>
      <w:r>
        <w:rPr>
          <w:rFonts w:hint="eastAsia" w:ascii="宋体" w:hAnsi="宋体" w:cs="宋体"/>
          <w:b w:val="0"/>
          <w:bCs w:val="0"/>
          <w:color w:val="000000"/>
          <w:sz w:val="28"/>
          <w:szCs w:val="28"/>
          <w:lang w:val="en-US" w:eastAsia="zh-CN"/>
        </w:rPr>
        <w:t>单位：元</w:t>
      </w:r>
    </w:p>
    <w:tbl>
      <w:tblPr>
        <w:tblStyle w:val="2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16"/>
        <w:gridCol w:w="2971"/>
        <w:gridCol w:w="776"/>
        <w:gridCol w:w="776"/>
        <w:gridCol w:w="776"/>
        <w:gridCol w:w="776"/>
        <w:gridCol w:w="2036"/>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 xml:space="preserve"> 序号</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合价</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螺杆冷水机组维保</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shd w:val="clear" w:color="auto" w:fill="auto"/>
            <w:noWrap/>
            <w:vAlign w:val="center"/>
          </w:tcPr>
          <w:p>
            <w:pPr>
              <w:rPr>
                <w:rFonts w:hint="eastAsia" w:ascii="宋体" w:hAnsi="宋体" w:eastAsia="宋体" w:cs="宋体"/>
                <w:i w:val="0"/>
                <w:iCs w:val="0"/>
                <w:color w:val="000000"/>
                <w:sz w:val="24"/>
                <w:szCs w:val="24"/>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YORK/YS</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涡旋式冷水机组维保</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YORK/YCWE</w:t>
            </w:r>
          </w:p>
        </w:tc>
        <w:tc>
          <w:tcPr>
            <w:tcW w:w="0" w:type="auto"/>
            <w:shd w:val="clear" w:color="auto" w:fill="auto"/>
            <w:vAlign w:val="top"/>
          </w:tcPr>
          <w:p>
            <w:pPr>
              <w:jc w:val="lef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水泵电机维修</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JO2-4</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水泵更换机械密封</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150/345-30/4</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更换冷却塔电机及风扇</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CDW100ASY</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r>
              <w:rPr>
                <w:rFonts w:hint="default" w:ascii="Times New Roman" w:hAnsi="Times New Roman" w:eastAsia="宋体" w:cs="Times New Roman"/>
                <w:i w:val="0"/>
                <w:iCs w:val="0"/>
                <w:color w:val="000000"/>
                <w:kern w:val="0"/>
                <w:sz w:val="24"/>
                <w:szCs w:val="24"/>
                <w:u w:val="none"/>
                <w:lang w:val="en-US" w:eastAsia="zh-CN" w:bidi="ar"/>
              </w:rPr>
              <w:t>3</w:t>
            </w:r>
            <w:r>
              <w:rPr>
                <w:rStyle w:val="3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制冷剂R22</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罐</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更换风机盘管</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FP-8</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r>
              <w:rPr>
                <w:rFonts w:hint="default" w:ascii="Times New Roman" w:hAnsi="Times New Roman" w:eastAsia="宋体" w:cs="Times New Roman"/>
                <w:i w:val="0"/>
                <w:iCs w:val="0"/>
                <w:color w:val="000000"/>
                <w:kern w:val="0"/>
                <w:sz w:val="24"/>
                <w:szCs w:val="24"/>
                <w:u w:val="none"/>
                <w:lang w:val="en-US" w:eastAsia="zh-CN" w:bidi="ar"/>
              </w:rPr>
              <w:t>5</w:t>
            </w:r>
            <w:r>
              <w:rPr>
                <w:rStyle w:val="3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ABB交流接触器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EH  210</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r>
              <w:rPr>
                <w:rFonts w:hint="default" w:ascii="Times New Roman" w:hAnsi="Times New Roman" w:eastAsia="宋体" w:cs="Times New Roman"/>
                <w:i w:val="0"/>
                <w:iCs w:val="0"/>
                <w:color w:val="000000"/>
                <w:kern w:val="0"/>
                <w:sz w:val="24"/>
                <w:szCs w:val="24"/>
                <w:u w:val="none"/>
                <w:lang w:val="en-US" w:eastAsia="zh-CN" w:bidi="ar"/>
              </w:rPr>
              <w:t>3</w:t>
            </w:r>
            <w:r>
              <w:rPr>
                <w:rStyle w:val="3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约克 YS 冷冻油（C）</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C油</w:t>
            </w: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约克供油过滤器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026-32831-000</w:t>
            </w: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引射回油过滤器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026-32839-000</w:t>
            </w: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干燥过滤器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026-32841-000</w:t>
            </w: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小机组相序保护器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水泵热继电器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水泵接触器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CJ20-63</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r>
              <w:rPr>
                <w:rFonts w:hint="default" w:ascii="Times New Roman" w:hAnsi="Times New Roman" w:eastAsia="宋体" w:cs="Times New Roman"/>
                <w:i w:val="0"/>
                <w:iCs w:val="0"/>
                <w:color w:val="000000"/>
                <w:kern w:val="0"/>
                <w:sz w:val="24"/>
                <w:szCs w:val="24"/>
                <w:u w:val="none"/>
                <w:lang w:val="en-US" w:eastAsia="zh-CN" w:bidi="ar"/>
              </w:rPr>
              <w:t>3</w:t>
            </w:r>
            <w:r>
              <w:rPr>
                <w:rStyle w:val="3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蒸发器压力传感器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r>
              <w:rPr>
                <w:rFonts w:hint="default" w:ascii="Times New Roman" w:hAnsi="Times New Roman" w:eastAsia="宋体" w:cs="Times New Roman"/>
                <w:i w:val="0"/>
                <w:iCs w:val="0"/>
                <w:color w:val="000000"/>
                <w:kern w:val="0"/>
                <w:sz w:val="24"/>
                <w:szCs w:val="24"/>
                <w:u w:val="none"/>
                <w:lang w:val="en-US" w:eastAsia="zh-CN" w:bidi="ar"/>
              </w:rPr>
              <w:t>3</w:t>
            </w:r>
            <w:r>
              <w:rPr>
                <w:rStyle w:val="3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冷却水温度传感器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r>
              <w:rPr>
                <w:rFonts w:hint="default" w:ascii="Times New Roman" w:hAnsi="Times New Roman" w:eastAsia="宋体" w:cs="Times New Roman"/>
                <w:i w:val="0"/>
                <w:iCs w:val="0"/>
                <w:color w:val="000000"/>
                <w:kern w:val="0"/>
                <w:sz w:val="24"/>
                <w:szCs w:val="24"/>
                <w:u w:val="none"/>
                <w:lang w:val="en-US" w:eastAsia="zh-CN" w:bidi="ar"/>
              </w:rPr>
              <w:t>3</w:t>
            </w:r>
            <w:r>
              <w:rPr>
                <w:rStyle w:val="3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冷却水泵启动变频器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盘管进出水（过滤器、球阀、软连接、保温）</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0" w:type="auto"/>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含连接管件及弯头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DN32PVC冷凝水管</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w:t>
            </w:r>
          </w:p>
        </w:tc>
        <w:tc>
          <w:tcPr>
            <w:tcW w:w="0" w:type="auto"/>
            <w:shd w:val="clear" w:color="auto" w:fill="auto"/>
            <w:noWrap/>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DN50PPR水管</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清洗进出风口</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210</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中央空调机组托管</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人工费</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shd w:val="clear" w:color="auto" w:fill="auto"/>
            <w:vAlign w:val="top"/>
          </w:tcPr>
          <w:p>
            <w:pPr>
              <w:jc w:val="left"/>
              <w:rPr>
                <w:rFonts w:hint="eastAsia" w:ascii="宋体" w:hAnsi="宋体" w:eastAsia="宋体" w:cs="宋体"/>
                <w:i w:val="0"/>
                <w:iCs w:val="0"/>
                <w:color w:val="000000"/>
                <w:sz w:val="24"/>
                <w:szCs w:val="24"/>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jc w:val="both"/>
              <w:rPr>
                <w:rFonts w:hint="default" w:ascii="Times New Roman" w:hAnsi="Times New Roman" w:eastAsia="宋体" w:cs="Times New Roman"/>
                <w:i w:val="0"/>
                <w:iCs w:val="0"/>
                <w:color w:val="000000"/>
                <w:sz w:val="22"/>
                <w:szCs w:val="22"/>
                <w:u w:val="none"/>
              </w:rPr>
            </w:pPr>
          </w:p>
        </w:tc>
      </w:tr>
    </w:tbl>
    <w:p>
      <w:pPr>
        <w:jc w:val="center"/>
        <w:rPr>
          <w:rFonts w:hint="eastAsia" w:ascii="宋体" w:hAnsi="宋体" w:cs="宋体"/>
          <w:b/>
          <w:bCs/>
          <w:color w:val="000000"/>
          <w:sz w:val="30"/>
          <w:szCs w:val="30"/>
        </w:rPr>
      </w:pPr>
    </w:p>
    <w:p>
      <w:pPr>
        <w:pStyle w:val="5"/>
        <w:rPr>
          <w:rFonts w:hint="eastAsia"/>
        </w:rPr>
      </w:pPr>
    </w:p>
    <w:p>
      <w:pPr>
        <w:rPr>
          <w:rFonts w:hint="eastAsia" w:ascii="宋体" w:hAnsi="宋体" w:cs="宋体"/>
          <w:color w:val="000000"/>
          <w:sz w:val="30"/>
          <w:szCs w:val="30"/>
        </w:rPr>
        <w:sectPr>
          <w:pgSz w:w="11906" w:h="16838"/>
          <w:pgMar w:top="1134" w:right="850" w:bottom="1134" w:left="850" w:header="851" w:footer="992" w:gutter="0"/>
          <w:pgNumType w:fmt="decimal"/>
          <w:cols w:space="425" w:num="1"/>
          <w:docGrid w:type="lines" w:linePitch="312" w:charSpace="0"/>
        </w:sectPr>
      </w:pPr>
    </w:p>
    <w:p>
      <w:pPr>
        <w:rPr>
          <w:rFonts w:hint="eastAsia" w:ascii="宋体" w:hAnsi="宋体" w:cs="宋体"/>
          <w:color w:val="000000"/>
          <w:sz w:val="30"/>
          <w:szCs w:val="30"/>
        </w:rPr>
      </w:pPr>
    </w:p>
    <w:p>
      <w:pPr>
        <w:pStyle w:val="3"/>
        <w:jc w:val="center"/>
        <w:rPr>
          <w:rFonts w:hint="eastAsia" w:ascii="宋体" w:hAnsi="宋体" w:cs="宋体"/>
          <w:color w:val="000000"/>
          <w:sz w:val="30"/>
          <w:szCs w:val="30"/>
        </w:rPr>
      </w:pPr>
    </w:p>
    <w:p>
      <w:pPr>
        <w:pStyle w:val="3"/>
        <w:jc w:val="center"/>
        <w:rPr>
          <w:rFonts w:hint="eastAsia" w:ascii="宋体" w:hAnsi="宋体" w:cs="宋体"/>
          <w:color w:val="000000"/>
          <w:sz w:val="30"/>
          <w:szCs w:val="30"/>
          <w:highlight w:val="none"/>
        </w:rPr>
      </w:pPr>
      <w:r>
        <w:rPr>
          <w:rFonts w:hint="eastAsia" w:ascii="宋体" w:hAnsi="宋体" w:cs="宋体"/>
          <w:color w:val="000000"/>
          <w:sz w:val="30"/>
          <w:szCs w:val="30"/>
        </w:rPr>
        <w:t xml:space="preserve">第四部分 </w:t>
      </w:r>
      <w:r>
        <w:rPr>
          <w:rFonts w:hint="eastAsia" w:ascii="宋体" w:hAnsi="宋体" w:cs="宋体"/>
          <w:color w:val="000000"/>
          <w:sz w:val="30"/>
          <w:szCs w:val="30"/>
          <w:highlight w:val="none"/>
        </w:rPr>
        <w:t xml:space="preserve"> 合同格式</w:t>
      </w:r>
      <w:bookmarkEnd w:id="12"/>
      <w:bookmarkEnd w:id="13"/>
    </w:p>
    <w:p>
      <w:pPr>
        <w:ind w:firstLine="6325" w:firstLineChars="2100"/>
        <w:rPr>
          <w:rFonts w:ascii="宋体" w:hAnsi="宋体" w:cs="宋体"/>
          <w:b/>
          <w:color w:val="000000"/>
          <w:sz w:val="30"/>
          <w:szCs w:val="30"/>
        </w:rPr>
      </w:pPr>
    </w:p>
    <w:p>
      <w:pPr>
        <w:rPr>
          <w:rFonts w:ascii="宋体" w:hAnsi="宋体" w:cs="宋体"/>
          <w:b/>
          <w:color w:val="000000"/>
          <w:sz w:val="36"/>
        </w:rPr>
      </w:pPr>
    </w:p>
    <w:p>
      <w:pPr>
        <w:jc w:val="center"/>
        <w:rPr>
          <w:rFonts w:hint="eastAsia" w:ascii="宋体" w:hAnsi="宋体" w:cs="宋体"/>
          <w:b/>
          <w:color w:val="000000"/>
          <w:sz w:val="72"/>
        </w:rPr>
      </w:pPr>
    </w:p>
    <w:p>
      <w:pPr>
        <w:jc w:val="center"/>
        <w:rPr>
          <w:rFonts w:ascii="宋体" w:hAnsi="宋体" w:cs="宋体"/>
          <w:b/>
          <w:color w:val="000000"/>
          <w:sz w:val="72"/>
        </w:rPr>
      </w:pPr>
      <w:r>
        <w:rPr>
          <w:rFonts w:hint="eastAsia" w:ascii="宋体" w:hAnsi="宋体" w:cs="宋体"/>
          <w:b/>
          <w:color w:val="000000"/>
          <w:sz w:val="72"/>
        </w:rPr>
        <w:t>采购合同</w:t>
      </w:r>
    </w:p>
    <w:p>
      <w:pPr>
        <w:jc w:val="center"/>
        <w:rPr>
          <w:rFonts w:ascii="宋体" w:hAnsi="宋体" w:cs="宋体"/>
          <w:b/>
          <w:color w:val="000000"/>
          <w:sz w:val="30"/>
        </w:rPr>
      </w:pPr>
      <w:r>
        <w:rPr>
          <w:rFonts w:hint="eastAsia" w:ascii="宋体" w:hAnsi="宋体" w:cs="宋体"/>
          <w:b/>
          <w:color w:val="000000"/>
          <w:sz w:val="30"/>
        </w:rPr>
        <w:t>（竞争性磋商：服务类）</w:t>
      </w:r>
    </w:p>
    <w:p>
      <w:pPr>
        <w:jc w:val="center"/>
        <w:rPr>
          <w:rFonts w:ascii="宋体" w:hAnsi="宋体" w:cs="宋体"/>
          <w:b/>
          <w:color w:val="000000"/>
          <w:sz w:val="30"/>
        </w:rPr>
      </w:pPr>
    </w:p>
    <w:p>
      <w:pPr>
        <w:jc w:val="center"/>
        <w:rPr>
          <w:rFonts w:ascii="宋体" w:hAnsi="宋体" w:cs="宋体"/>
          <w:b/>
          <w:color w:val="000000"/>
          <w:sz w:val="36"/>
        </w:rPr>
      </w:pPr>
    </w:p>
    <w:p>
      <w:pPr>
        <w:tabs>
          <w:tab w:val="left" w:pos="7360"/>
        </w:tabs>
        <w:rPr>
          <w:rFonts w:ascii="宋体" w:hAnsi="宋体" w:cs="宋体"/>
          <w:b/>
          <w:color w:val="000000"/>
          <w:sz w:val="36"/>
        </w:rPr>
      </w:pPr>
      <w:r>
        <w:rPr>
          <w:rFonts w:hint="eastAsia" w:ascii="宋体" w:hAnsi="宋体" w:cs="宋体"/>
          <w:b/>
          <w:color w:val="000000"/>
          <w:sz w:val="36"/>
        </w:rPr>
        <w:tab/>
      </w:r>
    </w:p>
    <w:p>
      <w:pPr>
        <w:ind w:firstLine="1796" w:firstLineChars="497"/>
        <w:rPr>
          <w:rFonts w:ascii="宋体" w:hAnsi="宋体" w:cs="宋体"/>
          <w:b/>
          <w:color w:val="000000"/>
          <w:sz w:val="36"/>
        </w:rPr>
      </w:pPr>
    </w:p>
    <w:p>
      <w:pPr>
        <w:ind w:firstLine="1796" w:firstLineChars="497"/>
        <w:rPr>
          <w:rFonts w:ascii="宋体" w:hAnsi="宋体" w:cs="宋体"/>
          <w:b/>
          <w:color w:val="000000"/>
          <w:sz w:val="36"/>
        </w:rPr>
      </w:pPr>
      <w:r>
        <w:rPr>
          <w:rFonts w:hint="eastAsia" w:ascii="宋体" w:hAnsi="宋体" w:cs="宋体"/>
          <w:b/>
          <w:color w:val="000000"/>
          <w:sz w:val="36"/>
        </w:rPr>
        <w:t>项目名称:</w:t>
      </w:r>
    </w:p>
    <w:p>
      <w:pPr>
        <w:spacing w:beforeLines="100"/>
        <w:ind w:firstLine="1796" w:firstLineChars="497"/>
        <w:rPr>
          <w:rFonts w:ascii="宋体" w:hAnsi="宋体" w:cs="宋体"/>
          <w:b/>
          <w:color w:val="000000"/>
          <w:sz w:val="36"/>
          <w:u w:val="single"/>
        </w:rPr>
      </w:pPr>
      <w:r>
        <w:rPr>
          <w:rFonts w:hint="eastAsia" w:ascii="宋体" w:hAnsi="宋体" w:cs="宋体"/>
          <w:b/>
          <w:color w:val="000000"/>
          <w:sz w:val="36"/>
        </w:rPr>
        <w:t>项目编号:</w:t>
      </w:r>
    </w:p>
    <w:p>
      <w:pPr>
        <w:jc w:val="center"/>
        <w:rPr>
          <w:rFonts w:ascii="宋体" w:hAnsi="宋体" w:cs="宋体"/>
          <w:b/>
          <w:color w:val="000000"/>
          <w:sz w:val="36"/>
        </w:rPr>
      </w:pPr>
    </w:p>
    <w:p>
      <w:pPr>
        <w:ind w:firstLine="1807" w:firstLineChars="500"/>
        <w:rPr>
          <w:rFonts w:ascii="宋体" w:hAnsi="宋体" w:cs="宋体"/>
          <w:b/>
          <w:color w:val="000000"/>
          <w:sz w:val="36"/>
        </w:rPr>
      </w:pPr>
    </w:p>
    <w:p>
      <w:pPr>
        <w:ind w:firstLine="1807" w:firstLineChars="500"/>
        <w:rPr>
          <w:rFonts w:ascii="宋体" w:hAnsi="宋体" w:cs="宋体"/>
          <w:b/>
          <w:color w:val="000000"/>
          <w:sz w:val="36"/>
        </w:rPr>
      </w:pPr>
      <w:r>
        <w:rPr>
          <w:rFonts w:hint="eastAsia" w:ascii="宋体" w:hAnsi="宋体" w:cs="宋体"/>
          <w:b/>
          <w:color w:val="000000"/>
          <w:sz w:val="36"/>
        </w:rPr>
        <w:t>甲    方:</w:t>
      </w:r>
    </w:p>
    <w:p>
      <w:pPr>
        <w:spacing w:beforeLines="100"/>
        <w:ind w:firstLine="1807" w:firstLineChars="500"/>
        <w:rPr>
          <w:rFonts w:ascii="宋体" w:hAnsi="宋体" w:cs="宋体"/>
          <w:b/>
          <w:color w:val="000000"/>
          <w:sz w:val="36"/>
          <w:u w:val="single"/>
        </w:rPr>
      </w:pPr>
      <w:r>
        <w:rPr>
          <w:rFonts w:hint="eastAsia" w:ascii="宋体" w:hAnsi="宋体" w:cs="宋体"/>
          <w:b/>
          <w:color w:val="000000"/>
          <w:sz w:val="36"/>
        </w:rPr>
        <w:t>乙    方:</w:t>
      </w:r>
    </w:p>
    <w:p>
      <w:pPr>
        <w:snapToGrid w:val="0"/>
        <w:spacing w:beforeLines="100"/>
        <w:ind w:firstLine="1807" w:firstLineChars="500"/>
        <w:rPr>
          <w:rFonts w:ascii="宋体" w:hAnsi="宋体" w:cs="宋体"/>
          <w:b/>
          <w:color w:val="000000"/>
          <w:sz w:val="36"/>
          <w:u w:val="single"/>
        </w:rPr>
      </w:pPr>
      <w:r>
        <w:rPr>
          <w:rFonts w:hint="eastAsia" w:ascii="宋体" w:hAnsi="宋体" w:cs="宋体"/>
          <w:b/>
          <w:color w:val="000000"/>
          <w:sz w:val="36"/>
        </w:rPr>
        <w:t>代理机构名称：</w:t>
      </w:r>
    </w:p>
    <w:p>
      <w:pPr>
        <w:spacing w:beforeLines="100"/>
        <w:ind w:firstLine="1205" w:firstLineChars="500"/>
        <w:rPr>
          <w:rFonts w:ascii="宋体" w:hAnsi="宋体" w:cs="宋体"/>
          <w:b/>
          <w:color w:val="000000"/>
          <w:sz w:val="24"/>
          <w:u w:val="single"/>
        </w:rPr>
      </w:pPr>
    </w:p>
    <w:p>
      <w:pPr>
        <w:pStyle w:val="4"/>
      </w:pPr>
    </w:p>
    <w:p>
      <w:pPr>
        <w:spacing w:line="360" w:lineRule="auto"/>
        <w:ind w:firstLine="381" w:firstLineChars="159"/>
        <w:rPr>
          <w:rFonts w:ascii="宋体" w:hAnsi="宋体" w:cs="宋体"/>
          <w:color w:val="000000"/>
          <w:sz w:val="24"/>
          <w:u w:val="single"/>
        </w:rPr>
      </w:pPr>
      <w:r>
        <w:rPr>
          <w:rFonts w:hint="eastAsia" w:ascii="宋体" w:hAnsi="宋体" w:cs="宋体"/>
          <w:color w:val="000000"/>
          <w:sz w:val="24"/>
          <w:u w:val="single"/>
        </w:rPr>
        <w:t xml:space="preserve">                          （甲方）所需        服务名称)经      （代理机构名称）以竞争性磋商文件在国内以竞争性磋商方式进行采购。经</w:t>
      </w:r>
      <w:r>
        <w:rPr>
          <w:rFonts w:hint="eastAsia" w:ascii="宋体" w:hAnsi="宋体" w:cs="宋体"/>
          <w:color w:val="000000"/>
          <w:sz w:val="24"/>
          <w:u w:val="single"/>
          <w:lang w:eastAsia="zh-CN"/>
        </w:rPr>
        <w:t>磋商小组</w:t>
      </w:r>
      <w:r>
        <w:rPr>
          <w:rFonts w:hint="eastAsia" w:ascii="宋体" w:hAnsi="宋体" w:cs="宋体"/>
          <w:color w:val="000000"/>
          <w:sz w:val="24"/>
          <w:u w:val="single"/>
        </w:rPr>
        <w:t>确定（乙方）为</w:t>
      </w:r>
      <w:r>
        <w:rPr>
          <w:rFonts w:hint="eastAsia" w:ascii="宋体" w:hAnsi="宋体" w:cs="宋体"/>
          <w:color w:val="000000"/>
          <w:sz w:val="24"/>
          <w:u w:val="single"/>
          <w:lang w:eastAsia="zh-CN"/>
        </w:rPr>
        <w:t>成交</w:t>
      </w:r>
      <w:r>
        <w:rPr>
          <w:rFonts w:hint="eastAsia" w:ascii="宋体" w:hAnsi="宋体" w:cs="宋体"/>
          <w:color w:val="000000"/>
          <w:sz w:val="24"/>
          <w:u w:val="single"/>
        </w:rPr>
        <w:t>供应商。甲、乙双方根据《中华人民共和国合同法》、《中华人民共和国</w:t>
      </w:r>
      <w:r>
        <w:rPr>
          <w:rFonts w:hint="eastAsia" w:ascii="宋体" w:hAnsi="宋体" w:cs="宋体"/>
          <w:color w:val="000000"/>
          <w:sz w:val="24"/>
          <w:u w:val="single"/>
          <w:lang w:val="en-US" w:eastAsia="zh-CN"/>
        </w:rPr>
        <w:t>招标投标</w:t>
      </w:r>
      <w:r>
        <w:rPr>
          <w:rFonts w:hint="eastAsia" w:ascii="宋体" w:hAnsi="宋体" w:cs="宋体"/>
          <w:color w:val="000000"/>
          <w:sz w:val="24"/>
          <w:u w:val="single"/>
        </w:rPr>
        <w:t>法》和其他法律、法规的规定，并按照公正、平等、自愿、诚实信用的原则，同意按照以下条款和条件，签署本合同。</w:t>
      </w:r>
    </w:p>
    <w:p>
      <w:pPr>
        <w:spacing w:line="360" w:lineRule="auto"/>
        <w:ind w:firstLine="383" w:firstLineChars="159"/>
        <w:rPr>
          <w:rFonts w:ascii="宋体" w:hAnsi="宋体" w:cs="宋体"/>
          <w:b/>
          <w:bCs/>
          <w:color w:val="000000"/>
          <w:sz w:val="24"/>
        </w:rPr>
      </w:pPr>
      <w:r>
        <w:rPr>
          <w:rFonts w:hint="eastAsia" w:ascii="宋体" w:hAnsi="宋体" w:cs="宋体"/>
          <w:b/>
          <w:bCs/>
          <w:color w:val="000000"/>
          <w:sz w:val="24"/>
        </w:rPr>
        <w:t>一、本合同由合同文本和下列文件组成</w:t>
      </w:r>
    </w:p>
    <w:p>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1、竞争性磋商文件</w:t>
      </w:r>
    </w:p>
    <w:p>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2、成交供应商报价文件</w:t>
      </w:r>
    </w:p>
    <w:p>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3、采购服务内容</w:t>
      </w:r>
    </w:p>
    <w:p>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4、合同一般条款</w:t>
      </w:r>
    </w:p>
    <w:p>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5、合同特殊条款</w:t>
      </w:r>
    </w:p>
    <w:p>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6、合同补充条款或说明</w:t>
      </w:r>
    </w:p>
    <w:p>
      <w:pPr>
        <w:ind w:firstLine="382"/>
        <w:rPr>
          <w:rFonts w:ascii="宋体" w:hAnsi="宋体" w:cs="宋体"/>
          <w:b/>
          <w:bCs/>
          <w:color w:val="000000"/>
          <w:sz w:val="24"/>
        </w:rPr>
      </w:pPr>
      <w:r>
        <w:rPr>
          <w:rFonts w:hint="eastAsia" w:ascii="宋体" w:hAnsi="宋体" w:cs="宋体"/>
          <w:b/>
          <w:bCs/>
          <w:color w:val="000000"/>
          <w:sz w:val="24"/>
        </w:rPr>
        <w:t>二、服务的名称、内容</w:t>
      </w:r>
    </w:p>
    <w:p>
      <w:pPr>
        <w:ind w:left="955"/>
        <w:rPr>
          <w:rFonts w:ascii="宋体" w:hAnsi="宋体" w:cs="宋体"/>
          <w:color w:val="000000"/>
          <w:u w:val="single"/>
        </w:rPr>
      </w:pPr>
      <w:r>
        <w:rPr>
          <w:rFonts w:hint="eastAsia" w:ascii="宋体" w:hAnsi="宋体" w:cs="宋体"/>
          <w:color w:val="000000"/>
          <w:u w:val="single"/>
        </w:rPr>
        <w:t>__________________________________________________________________________________</w:t>
      </w:r>
    </w:p>
    <w:p>
      <w:pPr>
        <w:ind w:left="955"/>
        <w:rPr>
          <w:rFonts w:ascii="宋体" w:hAnsi="宋体" w:cs="宋体"/>
          <w:color w:val="000000"/>
        </w:rPr>
      </w:pPr>
      <w:r>
        <w:rPr>
          <w:rFonts w:hint="eastAsia" w:ascii="宋体" w:hAnsi="宋体" w:cs="宋体"/>
          <w:color w:val="000000"/>
        </w:rPr>
        <w:t>（可后附详细服务内容）</w:t>
      </w:r>
    </w:p>
    <w:p>
      <w:pPr>
        <w:ind w:firstLine="382"/>
        <w:rPr>
          <w:rFonts w:ascii="宋体" w:hAnsi="宋体" w:cs="宋体"/>
          <w:color w:val="000000"/>
          <w:sz w:val="24"/>
        </w:rPr>
      </w:pPr>
      <w:r>
        <w:rPr>
          <w:rFonts w:hint="eastAsia" w:ascii="宋体" w:hAnsi="宋体" w:cs="宋体"/>
          <w:b/>
          <w:bCs/>
          <w:color w:val="000000"/>
          <w:sz w:val="24"/>
        </w:rPr>
        <w:t>三、合同金额</w:t>
      </w:r>
    </w:p>
    <w:p>
      <w:pPr>
        <w:ind w:firstLine="955"/>
        <w:rPr>
          <w:rFonts w:ascii="宋体" w:hAnsi="宋体" w:cs="宋体"/>
          <w:color w:val="000000"/>
          <w:sz w:val="24"/>
        </w:rPr>
      </w:pPr>
      <w:r>
        <w:rPr>
          <w:rFonts w:hint="eastAsia" w:ascii="宋体" w:hAnsi="宋体" w:cs="宋体"/>
          <w:color w:val="000000"/>
          <w:sz w:val="24"/>
        </w:rPr>
        <w:t>合同总金额：</w:t>
      </w:r>
      <w:r>
        <w:rPr>
          <w:rFonts w:hint="eastAsia" w:ascii="宋体" w:hAnsi="宋体" w:cs="宋体"/>
          <w:color w:val="000000"/>
          <w:u w:val="single"/>
        </w:rPr>
        <w:t xml:space="preserve">人民币                                     </w:t>
      </w:r>
      <w:r>
        <w:rPr>
          <w:rFonts w:hint="eastAsia" w:ascii="宋体" w:hAnsi="宋体" w:cs="宋体"/>
          <w:color w:val="000000"/>
          <w:sz w:val="24"/>
        </w:rPr>
        <w:t>（大写）</w:t>
      </w:r>
    </w:p>
    <w:p>
      <w:pPr>
        <w:ind w:firstLine="955"/>
        <w:rPr>
          <w:rFonts w:ascii="宋体" w:hAnsi="宋体" w:cs="宋体"/>
          <w:color w:val="000000"/>
          <w:sz w:val="24"/>
        </w:rPr>
      </w:pPr>
      <w:r>
        <w:rPr>
          <w:rFonts w:hint="eastAsia" w:ascii="宋体" w:hAnsi="宋体" w:cs="宋体"/>
          <w:color w:val="000000"/>
          <w:u w:val="single"/>
        </w:rPr>
        <w:t xml:space="preserve">人民币                                     </w:t>
      </w:r>
      <w:r>
        <w:rPr>
          <w:rFonts w:hint="eastAsia" w:ascii="宋体" w:hAnsi="宋体" w:cs="宋体"/>
          <w:color w:val="000000"/>
          <w:sz w:val="24"/>
        </w:rPr>
        <w:t>（小写）</w:t>
      </w:r>
    </w:p>
    <w:p>
      <w:pPr>
        <w:ind w:firstLine="382"/>
        <w:rPr>
          <w:rFonts w:ascii="宋体" w:hAnsi="宋体" w:cs="宋体"/>
          <w:b/>
          <w:bCs/>
          <w:color w:val="000000"/>
          <w:sz w:val="24"/>
        </w:rPr>
      </w:pPr>
      <w:r>
        <w:rPr>
          <w:rFonts w:hint="eastAsia" w:ascii="宋体" w:hAnsi="宋体" w:cs="宋体"/>
          <w:b/>
          <w:bCs/>
          <w:color w:val="000000"/>
          <w:sz w:val="24"/>
        </w:rPr>
        <w:t>四、付款</w:t>
      </w:r>
    </w:p>
    <w:p>
      <w:pPr>
        <w:ind w:left="0" w:leftChars="0" w:firstLine="441" w:firstLineChars="183"/>
        <w:rPr>
          <w:rFonts w:ascii="宋体" w:hAnsi="宋体" w:cs="宋体"/>
          <w:b/>
          <w:color w:val="000000"/>
          <w:sz w:val="24"/>
        </w:rPr>
      </w:pPr>
      <w:r>
        <w:rPr>
          <w:rFonts w:hint="eastAsia" w:ascii="宋体" w:hAnsi="宋体" w:cs="宋体"/>
          <w:b/>
          <w:color w:val="000000"/>
          <w:sz w:val="24"/>
        </w:rPr>
        <w:t>五、</w:t>
      </w:r>
      <w:r>
        <w:rPr>
          <w:rFonts w:hint="eastAsia" w:ascii="宋体" w:hAnsi="宋体" w:cs="宋体"/>
          <w:b/>
          <w:bCs/>
          <w:color w:val="000000"/>
          <w:sz w:val="24"/>
        </w:rPr>
        <w:t>时间、地点、验收方式</w:t>
      </w:r>
    </w:p>
    <w:p>
      <w:pPr>
        <w:ind w:firstLine="480"/>
        <w:rPr>
          <w:rFonts w:ascii="宋体" w:hAnsi="宋体" w:cs="宋体"/>
          <w:color w:val="000000"/>
          <w:sz w:val="24"/>
        </w:rPr>
      </w:pPr>
      <w:r>
        <w:rPr>
          <w:rFonts w:hint="eastAsia" w:ascii="宋体" w:hAnsi="宋体" w:cs="宋体"/>
          <w:color w:val="000000"/>
          <w:sz w:val="24"/>
        </w:rPr>
        <w:t>1、服务时间：</w:t>
      </w:r>
    </w:p>
    <w:p>
      <w:pPr>
        <w:ind w:firstLine="480"/>
        <w:rPr>
          <w:rFonts w:ascii="宋体" w:hAnsi="宋体" w:cs="宋体"/>
          <w:color w:val="000000"/>
          <w:sz w:val="24"/>
        </w:rPr>
      </w:pPr>
      <w:r>
        <w:rPr>
          <w:rFonts w:hint="eastAsia" w:ascii="宋体" w:hAnsi="宋体" w:cs="宋体"/>
          <w:color w:val="000000"/>
          <w:sz w:val="24"/>
        </w:rPr>
        <w:t>2、服务地点：甲方指定地点。</w:t>
      </w:r>
    </w:p>
    <w:p>
      <w:pPr>
        <w:ind w:firstLine="480"/>
        <w:rPr>
          <w:rFonts w:ascii="宋体" w:hAnsi="宋体" w:cs="宋体"/>
          <w:color w:val="000000"/>
          <w:sz w:val="24"/>
          <w:u w:val="single"/>
        </w:rPr>
      </w:pPr>
      <w:r>
        <w:rPr>
          <w:rFonts w:hint="eastAsia" w:ascii="宋体" w:hAnsi="宋体" w:cs="宋体"/>
          <w:color w:val="000000"/>
          <w:sz w:val="24"/>
        </w:rPr>
        <w:t>3、验收方式：。</w:t>
      </w:r>
    </w:p>
    <w:p>
      <w:pPr>
        <w:ind w:firstLine="480"/>
        <w:rPr>
          <w:rFonts w:ascii="宋体" w:hAnsi="宋体" w:cs="宋体"/>
          <w:b/>
          <w:color w:val="000000"/>
          <w:sz w:val="24"/>
        </w:rPr>
      </w:pPr>
      <w:r>
        <w:rPr>
          <w:rFonts w:hint="eastAsia" w:ascii="宋体" w:hAnsi="宋体" w:cs="宋体"/>
          <w:b/>
          <w:color w:val="000000"/>
          <w:sz w:val="24"/>
        </w:rPr>
        <w:t>六、履约保证金</w:t>
      </w:r>
    </w:p>
    <w:p>
      <w:pPr>
        <w:spacing w:line="360" w:lineRule="auto"/>
        <w:ind w:firstLine="1003" w:firstLineChars="418"/>
        <w:rPr>
          <w:rFonts w:ascii="宋体" w:hAnsi="宋体" w:cs="宋体"/>
          <w:color w:val="000000"/>
          <w:sz w:val="24"/>
          <w:lang w:val="en-US" w:eastAsia="zh-CN"/>
        </w:rPr>
      </w:pPr>
      <w:r>
        <w:rPr>
          <w:rFonts w:hint="eastAsia" w:ascii="宋体" w:hAnsi="宋体" w:cs="宋体"/>
          <w:color w:val="000000"/>
          <w:sz w:val="24"/>
          <w:lang w:val="en-US" w:eastAsia="zh-CN"/>
        </w:rPr>
        <w:t>无</w:t>
      </w:r>
    </w:p>
    <w:p>
      <w:pPr>
        <w:spacing w:line="360" w:lineRule="auto"/>
        <w:ind w:firstLine="480"/>
        <w:rPr>
          <w:rFonts w:ascii="宋体" w:hAnsi="宋体" w:cs="宋体"/>
          <w:b/>
          <w:color w:val="000000"/>
          <w:sz w:val="24"/>
        </w:rPr>
      </w:pPr>
      <w:r>
        <w:rPr>
          <w:rFonts w:hint="eastAsia" w:ascii="宋体" w:hAnsi="宋体" w:cs="宋体"/>
          <w:b/>
          <w:color w:val="000000"/>
          <w:sz w:val="24"/>
        </w:rPr>
        <w:t>七、合同生效</w:t>
      </w:r>
    </w:p>
    <w:p>
      <w:pPr>
        <w:spacing w:line="360" w:lineRule="auto"/>
        <w:ind w:firstLine="480"/>
        <w:rPr>
          <w:rFonts w:ascii="宋体" w:hAnsi="宋体" w:cs="宋体"/>
          <w:color w:val="000000"/>
          <w:sz w:val="24"/>
        </w:rPr>
      </w:pPr>
      <w:r>
        <w:rPr>
          <w:rFonts w:hint="eastAsia" w:ascii="宋体" w:hAnsi="宋体" w:cs="宋体"/>
          <w:color w:val="000000"/>
          <w:sz w:val="24"/>
        </w:rPr>
        <w:t xml:space="preserve">本合同为附条件生效合同，除甲乙双方签章，同时加盖采购代理机构合同审核章后，合同生效。 </w:t>
      </w:r>
    </w:p>
    <w:p>
      <w:pPr>
        <w:spacing w:line="360" w:lineRule="auto"/>
        <w:ind w:firstLine="480"/>
        <w:rPr>
          <w:rFonts w:ascii="宋体" w:hAnsi="宋体" w:cs="宋体"/>
          <w:b/>
          <w:color w:val="000000"/>
          <w:sz w:val="24"/>
        </w:rPr>
      </w:pPr>
      <w:r>
        <w:rPr>
          <w:rFonts w:hint="eastAsia" w:ascii="宋体" w:hAnsi="宋体" w:cs="宋体"/>
          <w:b/>
          <w:color w:val="000000"/>
          <w:sz w:val="24"/>
        </w:rPr>
        <w:t>八、合同保存</w:t>
      </w:r>
    </w:p>
    <w:p>
      <w:pPr>
        <w:spacing w:line="360" w:lineRule="auto"/>
        <w:ind w:firstLine="480"/>
        <w:rPr>
          <w:rFonts w:ascii="宋体" w:hAnsi="宋体" w:cs="宋体"/>
          <w:color w:val="000000"/>
          <w:sz w:val="24"/>
        </w:rPr>
      </w:pPr>
      <w:r>
        <w:rPr>
          <w:rFonts w:hint="eastAsia" w:ascii="宋体" w:hAnsi="宋体" w:cs="宋体"/>
          <w:color w:val="000000"/>
          <w:sz w:val="24"/>
        </w:rPr>
        <w:t>本合同一式五份，甲方</w:t>
      </w:r>
      <w:r>
        <w:rPr>
          <w:rFonts w:hint="eastAsia" w:ascii="宋体" w:hAnsi="宋体" w:cs="宋体"/>
          <w:color w:val="000000"/>
          <w:sz w:val="24"/>
          <w:lang w:val="en-US" w:eastAsia="zh-CN"/>
        </w:rPr>
        <w:t>二</w:t>
      </w:r>
      <w:r>
        <w:rPr>
          <w:rFonts w:hint="eastAsia" w:ascii="宋体" w:hAnsi="宋体" w:cs="宋体"/>
          <w:color w:val="000000"/>
          <w:sz w:val="24"/>
        </w:rPr>
        <w:t>份，乙方</w:t>
      </w:r>
      <w:r>
        <w:rPr>
          <w:rFonts w:hint="eastAsia" w:ascii="宋体" w:hAnsi="宋体" w:cs="宋体"/>
          <w:color w:val="000000"/>
          <w:sz w:val="24"/>
          <w:lang w:val="en-US" w:eastAsia="zh-CN"/>
        </w:rPr>
        <w:t>二</w:t>
      </w:r>
      <w:r>
        <w:rPr>
          <w:rFonts w:hint="eastAsia" w:ascii="宋体" w:hAnsi="宋体" w:cs="宋体"/>
          <w:color w:val="000000"/>
          <w:sz w:val="24"/>
        </w:rPr>
        <w:t>份，采购代理机构</w:t>
      </w:r>
      <w:r>
        <w:rPr>
          <w:rFonts w:hint="eastAsia" w:ascii="宋体" w:hAnsi="宋体" w:cs="宋体"/>
          <w:color w:val="000000"/>
          <w:sz w:val="24"/>
          <w:lang w:val="en-US" w:eastAsia="zh-CN"/>
        </w:rPr>
        <w:t>一</w:t>
      </w:r>
      <w:r>
        <w:rPr>
          <w:rFonts w:hint="eastAsia" w:ascii="宋体" w:hAnsi="宋体" w:cs="宋体"/>
          <w:color w:val="000000"/>
          <w:sz w:val="24"/>
        </w:rPr>
        <w:t>份。</w:t>
      </w:r>
    </w:p>
    <w:p>
      <w:pPr>
        <w:spacing w:line="360" w:lineRule="auto"/>
        <w:ind w:firstLine="480"/>
        <w:rPr>
          <w:rFonts w:ascii="宋体" w:hAnsi="宋体" w:cs="宋体"/>
          <w:b/>
          <w:color w:val="000000"/>
          <w:sz w:val="24"/>
        </w:rPr>
      </w:pPr>
      <w:r>
        <w:rPr>
          <w:rFonts w:hint="eastAsia" w:ascii="宋体" w:hAnsi="宋体" w:cs="宋体"/>
          <w:b/>
          <w:color w:val="000000"/>
          <w:sz w:val="24"/>
        </w:rPr>
        <w:t>九、违约条款</w:t>
      </w:r>
    </w:p>
    <w:p>
      <w:pPr>
        <w:spacing w:line="360" w:lineRule="auto"/>
        <w:ind w:firstLine="480"/>
        <w:rPr>
          <w:rFonts w:ascii="宋体" w:hAnsi="宋体" w:cs="宋体"/>
          <w:color w:val="000000"/>
          <w:sz w:val="24"/>
        </w:rPr>
      </w:pPr>
      <w:r>
        <w:rPr>
          <w:rFonts w:hint="eastAsia" w:ascii="宋体" w:hAnsi="宋体" w:cs="宋体"/>
          <w:color w:val="000000"/>
          <w:sz w:val="24"/>
        </w:rPr>
        <w:t>（1）合同一方违约，违约方向对方支付违约金，违约金额为成交金额的10%。</w:t>
      </w:r>
    </w:p>
    <w:p>
      <w:pPr>
        <w:spacing w:line="360" w:lineRule="auto"/>
        <w:ind w:firstLine="480"/>
        <w:rPr>
          <w:rFonts w:ascii="宋体" w:hAnsi="宋体" w:cs="宋体"/>
          <w:color w:val="000000"/>
          <w:sz w:val="24"/>
        </w:rPr>
      </w:pPr>
      <w:r>
        <w:rPr>
          <w:rFonts w:hint="eastAsia" w:ascii="宋体" w:hAnsi="宋体" w:cs="宋体"/>
          <w:color w:val="000000"/>
          <w:sz w:val="24"/>
        </w:rPr>
        <w:t>（2）成交供应商给用户造成的实际损失高于违约金的，成交供应商应给用户对高出违约金的部分予以赔偿。</w:t>
      </w:r>
    </w:p>
    <w:p>
      <w:pPr>
        <w:spacing w:line="360" w:lineRule="auto"/>
        <w:ind w:firstLine="480"/>
        <w:rPr>
          <w:rFonts w:ascii="宋体" w:hAnsi="宋体" w:cs="宋体"/>
          <w:color w:val="000000"/>
          <w:sz w:val="24"/>
        </w:rPr>
      </w:pPr>
      <w:r>
        <w:rPr>
          <w:rFonts w:hint="eastAsia" w:ascii="宋体" w:hAnsi="宋体" w:cs="宋体"/>
          <w:color w:val="000000"/>
          <w:sz w:val="24"/>
        </w:rPr>
        <w:t>（3）成交供应商迟延履行合同、不完全履行合同或提供的服务不符合谈判文件的要求，除支付违约金外，仍应实际履行合同或重新提供符合要求的服务。</w:t>
      </w:r>
    </w:p>
    <w:p>
      <w:pPr>
        <w:spacing w:line="360" w:lineRule="auto"/>
        <w:ind w:firstLine="480"/>
        <w:rPr>
          <w:rFonts w:ascii="宋体" w:hAnsi="宋体" w:cs="宋体"/>
          <w:color w:val="000000"/>
          <w:sz w:val="24"/>
        </w:rPr>
      </w:pPr>
      <w:r>
        <w:rPr>
          <w:rFonts w:hint="eastAsia" w:ascii="宋体" w:hAnsi="宋体" w:cs="宋体"/>
          <w:color w:val="000000"/>
          <w:sz w:val="24"/>
        </w:rPr>
        <w:t>（4）其它未尽事宜，以《中华人民共和国合同法》规定为准。</w:t>
      </w:r>
    </w:p>
    <w:p>
      <w:pPr>
        <w:spacing w:line="360" w:lineRule="auto"/>
        <w:ind w:firstLine="480"/>
        <w:rPr>
          <w:rFonts w:ascii="宋体" w:hAnsi="宋体" w:cs="宋体"/>
          <w:b/>
          <w:color w:val="000000"/>
          <w:sz w:val="24"/>
        </w:rPr>
      </w:pPr>
      <w:r>
        <w:rPr>
          <w:rFonts w:hint="eastAsia" w:ascii="宋体" w:hAnsi="宋体" w:cs="宋体"/>
          <w:b/>
          <w:color w:val="000000"/>
          <w:sz w:val="24"/>
        </w:rPr>
        <w:t>十、合同发生纠纷时，向济南仲裁委员会提起仲裁。</w:t>
      </w:r>
    </w:p>
    <w:p>
      <w:pPr>
        <w:autoSpaceDE/>
        <w:autoSpaceDN/>
        <w:spacing w:line="400" w:lineRule="exact"/>
        <w:rPr>
          <w:rFonts w:ascii="宋体" w:hAnsi="宋体" w:cs="宋体"/>
          <w:color w:val="000000"/>
          <w:sz w:val="24"/>
        </w:rPr>
      </w:pPr>
      <w:r>
        <w:rPr>
          <w:rFonts w:hint="eastAsia" w:ascii="宋体" w:hAnsi="宋体" w:cs="宋体"/>
          <w:color w:val="000000"/>
          <w:sz w:val="24"/>
        </w:rPr>
        <w:t>甲    方（公章）：                     乙    方（公章）：</w:t>
      </w:r>
    </w:p>
    <w:p>
      <w:pPr>
        <w:autoSpaceDE/>
        <w:autoSpaceDN/>
        <w:spacing w:beforeLines="50" w:line="400" w:lineRule="exact"/>
        <w:rPr>
          <w:rFonts w:ascii="宋体" w:hAnsi="宋体" w:cs="宋体"/>
          <w:color w:val="000000"/>
          <w:sz w:val="24"/>
        </w:rPr>
      </w:pPr>
      <w:r>
        <w:rPr>
          <w:rFonts w:hint="eastAsia" w:ascii="宋体" w:hAnsi="宋体" w:cs="宋体"/>
          <w:color w:val="000000"/>
          <w:sz w:val="24"/>
        </w:rPr>
        <w:t>法定代表人或授权代理人：（签字）        法定代表人或授权代理人：（签字）</w:t>
      </w:r>
    </w:p>
    <w:p>
      <w:pPr>
        <w:autoSpaceDE/>
        <w:autoSpaceDN/>
        <w:spacing w:beforeLines="50" w:line="400" w:lineRule="exact"/>
        <w:rPr>
          <w:rFonts w:ascii="宋体" w:hAnsi="宋体" w:cs="宋体"/>
          <w:color w:val="000000"/>
          <w:sz w:val="24"/>
        </w:rPr>
      </w:pPr>
      <w:r>
        <w:rPr>
          <w:rFonts w:hint="eastAsia" w:ascii="宋体" w:hAnsi="宋体" w:cs="宋体"/>
          <w:color w:val="000000"/>
          <w:sz w:val="24"/>
        </w:rPr>
        <w:t>开户单位：                             开户单位：</w:t>
      </w:r>
    </w:p>
    <w:p>
      <w:pPr>
        <w:autoSpaceDE/>
        <w:autoSpaceDN/>
        <w:spacing w:beforeLines="50" w:line="400" w:lineRule="exact"/>
        <w:rPr>
          <w:rFonts w:ascii="宋体" w:hAnsi="宋体" w:cs="宋体"/>
          <w:color w:val="000000"/>
          <w:sz w:val="24"/>
        </w:rPr>
      </w:pPr>
      <w:r>
        <w:rPr>
          <w:rFonts w:hint="eastAsia" w:ascii="宋体" w:hAnsi="宋体" w:cs="宋体"/>
          <w:color w:val="000000"/>
          <w:sz w:val="24"/>
        </w:rPr>
        <w:t>开户银行：                             开户银行：</w:t>
      </w:r>
    </w:p>
    <w:p>
      <w:pPr>
        <w:autoSpaceDE/>
        <w:autoSpaceDN/>
        <w:spacing w:beforeLines="50" w:line="400" w:lineRule="exact"/>
        <w:rPr>
          <w:rFonts w:ascii="宋体" w:hAnsi="宋体" w:cs="宋体"/>
          <w:color w:val="000000"/>
          <w:sz w:val="24"/>
        </w:rPr>
      </w:pPr>
      <w:r>
        <w:rPr>
          <w:rFonts w:hint="eastAsia" w:ascii="宋体" w:hAnsi="宋体" w:cs="宋体"/>
          <w:color w:val="000000"/>
          <w:sz w:val="24"/>
        </w:rPr>
        <w:t xml:space="preserve">帐    号：                             帐    号： </w:t>
      </w:r>
    </w:p>
    <w:p>
      <w:pPr>
        <w:autoSpaceDE/>
        <w:autoSpaceDN/>
        <w:spacing w:beforeLines="50" w:line="400" w:lineRule="exact"/>
        <w:rPr>
          <w:rFonts w:ascii="宋体" w:hAnsi="宋体" w:cs="宋体"/>
          <w:color w:val="000000"/>
          <w:sz w:val="24"/>
        </w:rPr>
      </w:pPr>
      <w:r>
        <w:rPr>
          <w:rFonts w:hint="eastAsia" w:ascii="宋体" w:hAnsi="宋体" w:cs="宋体"/>
          <w:color w:val="000000"/>
          <w:sz w:val="24"/>
        </w:rPr>
        <w:t>地    址：                             地    址：</w:t>
      </w:r>
    </w:p>
    <w:p>
      <w:pPr>
        <w:autoSpaceDE/>
        <w:autoSpaceDN/>
        <w:spacing w:beforeLines="50" w:line="400" w:lineRule="exact"/>
        <w:rPr>
          <w:rFonts w:ascii="宋体" w:hAnsi="宋体" w:cs="宋体"/>
          <w:color w:val="000000"/>
          <w:sz w:val="24"/>
        </w:rPr>
      </w:pPr>
      <w:r>
        <w:rPr>
          <w:rFonts w:hint="eastAsia" w:ascii="宋体" w:hAnsi="宋体" w:cs="宋体"/>
          <w:color w:val="000000"/>
          <w:sz w:val="24"/>
        </w:rPr>
        <w:t>邮政编码：                             邮政编码：</w:t>
      </w:r>
    </w:p>
    <w:p>
      <w:pPr>
        <w:autoSpaceDE/>
        <w:autoSpaceDN/>
        <w:spacing w:beforeLines="50" w:line="400" w:lineRule="exact"/>
        <w:rPr>
          <w:rFonts w:ascii="宋体" w:hAnsi="宋体" w:cs="宋体"/>
          <w:color w:val="000000"/>
          <w:sz w:val="24"/>
        </w:rPr>
      </w:pPr>
      <w:r>
        <w:rPr>
          <w:rFonts w:hint="eastAsia" w:ascii="宋体" w:hAnsi="宋体" w:cs="宋体"/>
          <w:color w:val="000000"/>
          <w:sz w:val="24"/>
        </w:rPr>
        <w:t>电    话：                             电    话：</w:t>
      </w:r>
    </w:p>
    <w:p>
      <w:pPr>
        <w:autoSpaceDE/>
        <w:autoSpaceDN/>
        <w:spacing w:beforeLines="50" w:line="400" w:lineRule="exact"/>
        <w:rPr>
          <w:rFonts w:hint="eastAsia" w:ascii="宋体" w:hAnsi="宋体" w:cs="宋体"/>
          <w:color w:val="000000"/>
          <w:sz w:val="24"/>
        </w:rPr>
      </w:pPr>
      <w:r>
        <w:rPr>
          <w:rFonts w:hint="eastAsia" w:ascii="宋体" w:hAnsi="宋体" w:cs="宋体"/>
          <w:color w:val="000000"/>
          <w:sz w:val="24"/>
        </w:rPr>
        <w:t xml:space="preserve">签订时间：  </w:t>
      </w:r>
      <w:r>
        <w:rPr>
          <w:rFonts w:hint="eastAsia" w:ascii="宋体" w:hAnsi="宋体" w:cs="宋体"/>
          <w:color w:val="000000"/>
          <w:sz w:val="24"/>
          <w:lang w:val="en-US" w:eastAsia="zh-CN"/>
        </w:rPr>
        <w:t xml:space="preserve">                           </w:t>
      </w:r>
      <w:r>
        <w:rPr>
          <w:rFonts w:hint="eastAsia" w:ascii="宋体" w:hAnsi="宋体" w:cs="宋体"/>
          <w:color w:val="000000"/>
          <w:sz w:val="24"/>
        </w:rPr>
        <w:t>签订时间：</w:t>
      </w:r>
    </w:p>
    <w:p>
      <w:pPr>
        <w:pStyle w:val="4"/>
        <w:rPr>
          <w:rFonts w:hint="eastAsia" w:ascii="宋体" w:hAnsi="宋体" w:cs="宋体"/>
          <w:color w:val="000000"/>
          <w:sz w:val="24"/>
        </w:rPr>
      </w:pPr>
    </w:p>
    <w:p>
      <w:pPr>
        <w:rPr>
          <w:rFonts w:hint="eastAsia" w:ascii="宋体" w:hAnsi="宋体" w:cs="宋体"/>
          <w:color w:val="000000"/>
          <w:sz w:val="24"/>
        </w:rPr>
      </w:pPr>
    </w:p>
    <w:p>
      <w:pPr>
        <w:pStyle w:val="4"/>
        <w:rPr>
          <w:rFonts w:hint="eastAsia" w:ascii="宋体" w:hAnsi="宋体" w:cs="宋体"/>
          <w:color w:val="000000"/>
          <w:sz w:val="24"/>
        </w:rPr>
      </w:pPr>
    </w:p>
    <w:p>
      <w:pPr>
        <w:pStyle w:val="3"/>
        <w:jc w:val="left"/>
        <w:rPr>
          <w:sz w:val="40"/>
          <w:szCs w:val="21"/>
          <w:lang w:val="en-US" w:eastAsia="zh-CN"/>
        </w:rPr>
        <w:sectPr>
          <w:pgSz w:w="11906" w:h="16838"/>
          <w:pgMar w:top="1134" w:right="850" w:bottom="1134" w:left="850" w:header="851" w:footer="992" w:gutter="0"/>
          <w:pgNumType w:fmt="decimal"/>
          <w:cols w:space="425" w:num="1"/>
          <w:docGrid w:type="lines" w:linePitch="312" w:charSpace="0"/>
        </w:sectPr>
      </w:pPr>
      <w:r>
        <w:rPr>
          <w:rFonts w:hint="eastAsia" w:ascii="宋体" w:hAnsi="宋体" w:cs="宋体"/>
          <w:color w:val="000000"/>
          <w:sz w:val="28"/>
          <w:szCs w:val="28"/>
          <w:highlight w:val="none"/>
          <w:lang w:val="en-US" w:eastAsia="zh-CN"/>
        </w:rPr>
        <w:t>注：本合同仅供参考，具体以实际签订合同为准。</w:t>
      </w:r>
    </w:p>
    <w:p>
      <w:pPr>
        <w:pStyle w:val="3"/>
        <w:jc w:val="center"/>
        <w:rPr>
          <w:rFonts w:hint="eastAsia" w:ascii="仿宋" w:hAnsi="仿宋" w:eastAsia="仿宋" w:cs="仿宋"/>
          <w:color w:val="000000"/>
          <w:sz w:val="30"/>
          <w:szCs w:val="30"/>
        </w:rPr>
      </w:pPr>
      <w:bookmarkStart w:id="14" w:name="_Toc25430"/>
      <w:bookmarkStart w:id="15" w:name="_Toc20280"/>
      <w:r>
        <w:rPr>
          <w:rFonts w:hint="eastAsia" w:ascii="仿宋" w:hAnsi="仿宋" w:eastAsia="仿宋" w:cs="仿宋"/>
          <w:color w:val="000000"/>
          <w:sz w:val="30"/>
          <w:szCs w:val="30"/>
        </w:rPr>
        <w:t>第五部分  附   件</w:t>
      </w:r>
      <w:bookmarkEnd w:id="14"/>
      <w:bookmarkEnd w:id="15"/>
    </w:p>
    <w:p>
      <w:pPr>
        <w:pStyle w:val="4"/>
        <w:jc w:val="left"/>
        <w:rPr>
          <w:rFonts w:hint="eastAsia" w:ascii="仿宋" w:hAnsi="仿宋" w:eastAsia="仿宋" w:cs="仿宋"/>
          <w:b/>
          <w:bCs/>
          <w:color w:val="000000"/>
          <w:sz w:val="24"/>
          <w:szCs w:val="24"/>
        </w:rPr>
      </w:pPr>
      <w:bookmarkStart w:id="16" w:name="_Toc1964"/>
      <w:r>
        <w:rPr>
          <w:rFonts w:hint="eastAsia" w:ascii="仿宋" w:hAnsi="仿宋" w:eastAsia="仿宋" w:cs="仿宋"/>
          <w:b/>
          <w:bCs/>
          <w:color w:val="000000"/>
          <w:sz w:val="24"/>
          <w:szCs w:val="24"/>
        </w:rPr>
        <w:t>附件一：</w:t>
      </w:r>
      <w:bookmarkEnd w:id="16"/>
    </w:p>
    <w:p>
      <w:pPr>
        <w:pStyle w:val="4"/>
        <w:rPr>
          <w:rFonts w:hint="eastAsia" w:ascii="仿宋" w:hAnsi="仿宋" w:eastAsia="仿宋" w:cs="仿宋"/>
          <w:color w:val="000000"/>
          <w:sz w:val="28"/>
          <w:szCs w:val="28"/>
          <w:lang w:val="en-US" w:eastAsia="zh-CN"/>
        </w:rPr>
      </w:pPr>
      <w:bookmarkStart w:id="17" w:name="_Toc24267"/>
    </w:p>
    <w:p>
      <w:pPr>
        <w:pStyle w:val="4"/>
        <w:rPr>
          <w:rFonts w:hint="eastAsia" w:ascii="仿宋" w:hAnsi="仿宋" w:eastAsia="仿宋" w:cs="仿宋"/>
          <w:color w:val="000000"/>
          <w:sz w:val="28"/>
          <w:szCs w:val="28"/>
          <w:lang w:val="en-US" w:eastAsia="zh-CN"/>
        </w:rPr>
      </w:pP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报  价</w:t>
      </w:r>
      <w:r>
        <w:rPr>
          <w:rFonts w:hint="eastAsia" w:ascii="仿宋" w:hAnsi="仿宋" w:eastAsia="仿宋" w:cs="仿宋"/>
          <w:color w:val="000000"/>
          <w:sz w:val="28"/>
          <w:szCs w:val="28"/>
        </w:rPr>
        <w:t xml:space="preserve">  函</w:t>
      </w:r>
      <w:bookmarkEnd w:id="17"/>
    </w:p>
    <w:p>
      <w:pPr>
        <w:rPr>
          <w:rFonts w:hint="eastAsia"/>
        </w:rPr>
      </w:pPr>
    </w:p>
    <w:p>
      <w:pPr>
        <w:rPr>
          <w:rFonts w:hint="eastAsia" w:ascii="仿宋" w:hAnsi="仿宋" w:eastAsia="仿宋" w:cs="仿宋"/>
        </w:rPr>
      </w:pP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single"/>
        </w:rPr>
        <w:t>致</w:t>
      </w:r>
      <w:r>
        <w:rPr>
          <w:rFonts w:hint="eastAsia" w:ascii="仿宋" w:hAnsi="仿宋" w:eastAsia="仿宋" w:cs="仿宋"/>
          <w:color w:val="000000"/>
          <w:sz w:val="24"/>
          <w:szCs w:val="24"/>
          <w:u w:val="single"/>
          <w:lang w:val="en-US" w:eastAsia="zh-CN"/>
        </w:rPr>
        <w:t>山东三誉招标代理有限公司：</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经研究，我们决定参加项目编号为</w:t>
      </w:r>
      <w:r>
        <w:rPr>
          <w:rFonts w:hint="eastAsia" w:hAnsi="宋体" w:cs="宋体"/>
          <w:color w:val="000000"/>
          <w:sz w:val="24"/>
          <w:szCs w:val="24"/>
          <w:u w:val="single"/>
          <w:lang w:eastAsia="zh-CN"/>
        </w:rPr>
        <w:t>YZJNFGS202106-CS001</w:t>
      </w:r>
      <w:r>
        <w:rPr>
          <w:rFonts w:hint="eastAsia" w:hAnsi="宋体" w:cs="宋体"/>
          <w:color w:val="000000"/>
          <w:sz w:val="24"/>
          <w:szCs w:val="24"/>
          <w:u w:val="single"/>
          <w:lang w:val="en-US" w:eastAsia="zh-CN"/>
        </w:rPr>
        <w:t xml:space="preserve"> </w:t>
      </w:r>
      <w:r>
        <w:rPr>
          <w:rFonts w:hint="eastAsia" w:hAnsi="宋体" w:cs="宋体"/>
          <w:color w:val="000000"/>
          <w:sz w:val="24"/>
          <w:szCs w:val="24"/>
        </w:rPr>
        <w:t>的</w:t>
      </w:r>
      <w:r>
        <w:rPr>
          <w:rFonts w:hint="eastAsia" w:hAnsi="宋体" w:cs="宋体"/>
          <w:color w:val="000000"/>
          <w:sz w:val="24"/>
          <w:szCs w:val="24"/>
          <w:u w:val="single"/>
          <w:lang w:eastAsia="zh-CN"/>
        </w:rPr>
        <w:t>中国邮政集团有限公司济南市分公司中央空调系统维保项目二次</w:t>
      </w:r>
      <w:r>
        <w:rPr>
          <w:rFonts w:hint="eastAsia" w:hAnsi="宋体" w:cs="宋体"/>
          <w:color w:val="000000"/>
          <w:sz w:val="24"/>
          <w:szCs w:val="24"/>
        </w:rPr>
        <w:t>的报价活动并提交报价文件。为此，我方郑重声明以下诸点，并负法律责任。</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1、我方提交的报价文件，正本一份，副本</w:t>
      </w:r>
      <w:r>
        <w:rPr>
          <w:rFonts w:hint="eastAsia" w:hAnsi="宋体" w:cs="宋体"/>
          <w:color w:val="000000"/>
          <w:sz w:val="24"/>
          <w:szCs w:val="24"/>
          <w:u w:val="single"/>
          <w:lang w:val="en-US" w:eastAsia="zh-CN"/>
        </w:rPr>
        <w:t>三</w:t>
      </w:r>
      <w:r>
        <w:rPr>
          <w:rFonts w:hint="eastAsia" w:hAnsi="宋体" w:cs="宋体"/>
          <w:color w:val="000000"/>
          <w:sz w:val="24"/>
          <w:szCs w:val="24"/>
        </w:rPr>
        <w:t>份。</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2、如果我们的报价文件被接受，我们将履行竞争性磋商文件中规定的每一项要求，并按我们报价文件中的承诺按期、按质、按量提供服务。</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3、我们理解，最低报价不是中标的唯一条件，你们有选择成交供应商的权力。</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4、我方愿按《中华人民共和国合同法》履行自己的全部责任。</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5、我们同意按竞争性磋商文件规定交纳</w:t>
      </w:r>
      <w:r>
        <w:rPr>
          <w:rFonts w:hint="eastAsia" w:hAnsi="宋体" w:cs="宋体"/>
          <w:color w:val="000000"/>
          <w:sz w:val="24"/>
          <w:szCs w:val="24"/>
          <w:lang w:val="en-US" w:eastAsia="zh-CN"/>
        </w:rPr>
        <w:t>成交</w:t>
      </w:r>
      <w:r>
        <w:rPr>
          <w:rFonts w:hint="eastAsia" w:hAnsi="宋体" w:cs="宋体"/>
          <w:color w:val="000000"/>
          <w:sz w:val="24"/>
          <w:szCs w:val="24"/>
        </w:rPr>
        <w:t>服务费，遵守贵机构有关竞争性磋商的各项规定。</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我方若未成为成交供应商，贵机构有权不做任何解释。</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7、我方的报价文件自开标之日起有效期为</w:t>
      </w:r>
      <w:r>
        <w:rPr>
          <w:rFonts w:hint="eastAsia" w:hAnsi="宋体" w:cs="宋体"/>
          <w:color w:val="000000"/>
          <w:sz w:val="24"/>
          <w:szCs w:val="24"/>
          <w:u w:val="single"/>
          <w:lang w:val="en-US" w:eastAsia="zh-CN"/>
        </w:rPr>
        <w:t>90</w:t>
      </w:r>
      <w:r>
        <w:rPr>
          <w:rFonts w:hint="eastAsia" w:hAnsi="宋体" w:cs="宋体"/>
          <w:color w:val="000000"/>
          <w:sz w:val="24"/>
          <w:szCs w:val="24"/>
        </w:rPr>
        <w:t>日。</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8、与本报价有关的一切正式往来通讯请寄：</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地    址：                            邮政编码：</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电    话：                            传    真：</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开户单位：                            开户银行：</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Ansi="宋体" w:cs="宋体"/>
          <w:color w:val="000000"/>
          <w:sz w:val="24"/>
          <w:szCs w:val="24"/>
        </w:rPr>
      </w:pPr>
      <w:r>
        <w:rPr>
          <w:rFonts w:hint="eastAsia" w:hAnsi="宋体" w:cs="宋体"/>
          <w:color w:val="000000"/>
          <w:sz w:val="24"/>
          <w:szCs w:val="24"/>
        </w:rPr>
        <w:t>帐    号：</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int="eastAsia" w:hAnsi="宋体" w:eastAsia="仿宋" w:cs="宋体"/>
          <w:color w:val="000000"/>
          <w:sz w:val="24"/>
          <w:szCs w:val="24"/>
          <w:lang w:eastAsia="zh-CN"/>
        </w:rPr>
      </w:pPr>
      <w:r>
        <w:rPr>
          <w:rFonts w:hint="eastAsia" w:hAnsi="宋体" w:cs="宋体"/>
          <w:color w:val="000000"/>
          <w:sz w:val="24"/>
          <w:szCs w:val="24"/>
        </w:rPr>
        <w:t>报价单位（</w:t>
      </w:r>
      <w:r>
        <w:rPr>
          <w:rFonts w:hint="eastAsia" w:hAnsi="宋体" w:cs="宋体"/>
          <w:color w:val="000000"/>
          <w:sz w:val="24"/>
          <w:szCs w:val="24"/>
          <w:lang w:val="en-US" w:eastAsia="zh-CN"/>
        </w:rPr>
        <w:t>公</w:t>
      </w:r>
      <w:r>
        <w:rPr>
          <w:rFonts w:hint="eastAsia" w:hAnsi="宋体" w:cs="宋体"/>
          <w:color w:val="000000"/>
          <w:sz w:val="24"/>
          <w:szCs w:val="24"/>
        </w:rPr>
        <w:t>章）</w:t>
      </w:r>
      <w:r>
        <w:rPr>
          <w:rFonts w:hint="eastAsia" w:hAnsi="宋体" w:cs="宋体"/>
          <w:color w:val="000000"/>
          <w:sz w:val="24"/>
          <w:szCs w:val="24"/>
          <w:lang w:eastAsia="zh-CN"/>
        </w:rPr>
        <w:t>：</w:t>
      </w:r>
    </w:p>
    <w:p>
      <w:pPr>
        <w:pStyle w:val="14"/>
        <w:keepNext w:val="0"/>
        <w:keepLines w:val="0"/>
        <w:pageBreakBefore w:val="0"/>
        <w:widowControl w:val="0"/>
        <w:tabs>
          <w:tab w:val="left" w:pos="5580"/>
        </w:tabs>
        <w:kinsoku/>
        <w:wordWrap/>
        <w:overflowPunct/>
        <w:topLinePunct w:val="0"/>
        <w:autoSpaceDE w:val="0"/>
        <w:autoSpaceDN w:val="0"/>
        <w:bidi w:val="0"/>
        <w:adjustRightInd/>
        <w:snapToGrid/>
        <w:spacing w:line="48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 xml:space="preserve">法定代表人或授权代理人签字：                     </w:t>
      </w:r>
    </w:p>
    <w:p>
      <w:pPr>
        <w:pStyle w:val="14"/>
        <w:tabs>
          <w:tab w:val="left" w:pos="5580"/>
        </w:tabs>
        <w:spacing w:line="360" w:lineRule="auto"/>
        <w:ind w:firstLine="480" w:firstLineChars="200"/>
        <w:rPr>
          <w:rFonts w:hint="eastAsia" w:hAnsi="宋体" w:cs="宋体"/>
          <w:color w:val="000000"/>
          <w:sz w:val="24"/>
          <w:szCs w:val="24"/>
        </w:rPr>
      </w:pPr>
    </w:p>
    <w:p>
      <w:pPr>
        <w:pStyle w:val="14"/>
        <w:tabs>
          <w:tab w:val="left" w:pos="5580"/>
        </w:tabs>
        <w:spacing w:line="360" w:lineRule="auto"/>
        <w:ind w:firstLine="480" w:firstLineChars="200"/>
        <w:jc w:val="right"/>
        <w:rPr>
          <w:rFonts w:hAnsi="宋体" w:cs="宋体"/>
          <w:color w:val="000000"/>
          <w:sz w:val="24"/>
          <w:szCs w:val="24"/>
        </w:rPr>
      </w:pPr>
      <w:r>
        <w:rPr>
          <w:rFonts w:hint="eastAsia" w:hAnsi="宋体" w:cs="宋体"/>
          <w:color w:val="000000"/>
          <w:sz w:val="24"/>
          <w:szCs w:val="24"/>
        </w:rPr>
        <w:t xml:space="preserve"> 年   月   日   </w:t>
      </w:r>
    </w:p>
    <w:p>
      <w:pPr>
        <w:pStyle w:val="4"/>
        <w:rPr>
          <w:rFonts w:ascii="宋体" w:hAnsi="宋体" w:eastAsia="宋体" w:cs="宋体"/>
          <w:color w:val="000000"/>
          <w:sz w:val="24"/>
          <w:szCs w:val="24"/>
        </w:rPr>
      </w:pPr>
      <w:bookmarkStart w:id="18" w:name="_Toc2040"/>
    </w:p>
    <w:p>
      <w:pPr>
        <w:rPr>
          <w:rFonts w:ascii="宋体" w:hAnsi="宋体" w:eastAsia="宋体" w:cs="宋体"/>
          <w:b/>
          <w:bCs/>
          <w:color w:val="000000"/>
          <w:sz w:val="24"/>
          <w:szCs w:val="24"/>
        </w:rPr>
      </w:pPr>
      <w:r>
        <w:rPr>
          <w:rFonts w:hint="eastAsia" w:ascii="宋体" w:hAnsi="宋体" w:eastAsia="宋体" w:cs="宋体"/>
          <w:b/>
          <w:bCs/>
          <w:color w:val="000000"/>
          <w:sz w:val="24"/>
          <w:szCs w:val="24"/>
        </w:rPr>
        <w:br w:type="page"/>
      </w:r>
    </w:p>
    <w:p>
      <w:pPr>
        <w:pStyle w:val="4"/>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附件二：</w:t>
      </w:r>
      <w:bookmarkEnd w:id="18"/>
    </w:p>
    <w:p>
      <w:pPr>
        <w:pStyle w:val="4"/>
        <w:rPr>
          <w:rFonts w:hint="eastAsia" w:ascii="仿宋" w:hAnsi="仿宋" w:eastAsia="仿宋" w:cs="仿宋"/>
          <w:color w:val="000000"/>
          <w:sz w:val="28"/>
          <w:szCs w:val="28"/>
        </w:rPr>
      </w:pPr>
      <w:bookmarkStart w:id="19" w:name="_Toc20484"/>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法定代表人授权书</w:t>
      </w:r>
      <w:bookmarkEnd w:id="19"/>
    </w:p>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pStyle w:val="11"/>
        <w:jc w:val="center"/>
        <w:rPr>
          <w:rFonts w:hint="eastAsia" w:ascii="仿宋" w:hAnsi="仿宋" w:eastAsia="仿宋" w:cs="仿宋"/>
          <w:b/>
          <w:color w:val="000000"/>
          <w:sz w:val="32"/>
        </w:rPr>
      </w:pPr>
    </w:p>
    <w:p>
      <w:pPr>
        <w:pStyle w:val="14"/>
        <w:tabs>
          <w:tab w:val="left" w:pos="5580"/>
        </w:tabs>
        <w:spacing w:line="360" w:lineRule="auto"/>
        <w:ind w:firstLine="480" w:firstLineChars="200"/>
        <w:rPr>
          <w:rFonts w:hAnsi="宋体" w:cs="宋体"/>
          <w:color w:val="000000"/>
          <w:sz w:val="24"/>
          <w:szCs w:val="24"/>
        </w:rPr>
      </w:pPr>
      <w:r>
        <w:rPr>
          <w:rFonts w:hint="eastAsia" w:ascii="仿宋" w:hAnsi="仿宋" w:eastAsia="仿宋" w:cs="仿宋"/>
          <w:color w:val="000000"/>
          <w:sz w:val="24"/>
          <w:szCs w:val="24"/>
        </w:rPr>
        <w:t>本授权书声明：注册于</w:t>
      </w:r>
      <w:r>
        <w:rPr>
          <w:rFonts w:hint="eastAsia" w:ascii="仿宋" w:hAnsi="仿宋" w:eastAsia="仿宋" w:cs="仿宋"/>
          <w:color w:val="000000"/>
          <w:sz w:val="24"/>
          <w:szCs w:val="24"/>
          <w:u w:val="single"/>
        </w:rPr>
        <w:t xml:space="preserve"> （国家或地区的名称）</w:t>
      </w:r>
      <w:r>
        <w:rPr>
          <w:rFonts w:hint="eastAsia" w:ascii="仿宋" w:hAnsi="仿宋" w:eastAsia="仿宋" w:cs="仿宋"/>
          <w:color w:val="000000"/>
          <w:sz w:val="24"/>
          <w:szCs w:val="24"/>
        </w:rPr>
        <w:t>的</w:t>
      </w:r>
      <w:r>
        <w:rPr>
          <w:rFonts w:hint="eastAsia" w:ascii="仿宋" w:hAnsi="仿宋" w:eastAsia="仿宋" w:cs="仿宋"/>
          <w:color w:val="000000"/>
          <w:sz w:val="24"/>
          <w:szCs w:val="24"/>
          <w:u w:val="single"/>
        </w:rPr>
        <w:t>（公司名称）</w:t>
      </w:r>
      <w:r>
        <w:rPr>
          <w:rFonts w:hint="eastAsia" w:ascii="仿宋" w:hAnsi="仿宋" w:eastAsia="仿宋" w:cs="仿宋"/>
          <w:color w:val="000000"/>
          <w:sz w:val="24"/>
          <w:szCs w:val="24"/>
        </w:rPr>
        <w:t>的在下面签字的</w:t>
      </w:r>
      <w:r>
        <w:rPr>
          <w:rFonts w:hint="eastAsia" w:ascii="仿宋" w:hAnsi="仿宋" w:eastAsia="仿宋" w:cs="仿宋"/>
          <w:color w:val="000000"/>
          <w:sz w:val="24"/>
          <w:szCs w:val="24"/>
          <w:u w:val="single"/>
        </w:rPr>
        <w:t>（法定代表人姓名、职务）</w:t>
      </w:r>
      <w:r>
        <w:rPr>
          <w:rFonts w:hint="eastAsia" w:ascii="仿宋" w:hAnsi="仿宋" w:eastAsia="仿宋" w:cs="仿宋"/>
          <w:color w:val="000000"/>
          <w:sz w:val="24"/>
          <w:szCs w:val="24"/>
        </w:rPr>
        <w:t>代表本公司授权在下面签字的</w:t>
      </w:r>
      <w:r>
        <w:rPr>
          <w:rFonts w:hint="eastAsia" w:ascii="仿宋" w:hAnsi="仿宋" w:eastAsia="仿宋" w:cs="仿宋"/>
          <w:color w:val="000000"/>
          <w:sz w:val="24"/>
          <w:szCs w:val="24"/>
          <w:u w:val="single"/>
        </w:rPr>
        <w:t>（授权代理人的姓名、职务</w:t>
      </w:r>
      <w:r>
        <w:rPr>
          <w:rFonts w:hint="eastAsia" w:hAnsi="宋体" w:cs="宋体"/>
          <w:color w:val="000000"/>
          <w:sz w:val="24"/>
          <w:szCs w:val="24"/>
          <w:u w:val="single"/>
        </w:rPr>
        <w:t>）</w:t>
      </w:r>
      <w:r>
        <w:rPr>
          <w:rFonts w:hint="eastAsia" w:hAnsi="宋体" w:cs="宋体"/>
          <w:color w:val="000000"/>
          <w:sz w:val="24"/>
          <w:szCs w:val="24"/>
        </w:rPr>
        <w:t>为本公司的合法代理人，就贵方组织的项目</w:t>
      </w:r>
      <w:r>
        <w:rPr>
          <w:rFonts w:hint="eastAsia" w:hAnsi="宋体" w:cs="宋体"/>
          <w:color w:val="000000"/>
          <w:sz w:val="24"/>
          <w:szCs w:val="24"/>
          <w:u w:val="single"/>
        </w:rPr>
        <w:t>（项目编号：     ）</w:t>
      </w:r>
      <w:r>
        <w:rPr>
          <w:rFonts w:hint="eastAsia" w:hAnsi="宋体" w:cs="宋体"/>
          <w:color w:val="000000"/>
          <w:sz w:val="24"/>
          <w:szCs w:val="24"/>
        </w:rPr>
        <w:t>，以本公司名义处理一切与之有关的事务。</w:t>
      </w:r>
    </w:p>
    <w:p>
      <w:pPr>
        <w:pStyle w:val="14"/>
        <w:tabs>
          <w:tab w:val="left" w:pos="5580"/>
        </w:tabs>
        <w:spacing w:line="360" w:lineRule="auto"/>
        <w:ind w:firstLine="480" w:firstLineChars="200"/>
        <w:rPr>
          <w:rFonts w:hAnsi="宋体" w:cs="宋体"/>
          <w:color w:val="000000"/>
          <w:sz w:val="24"/>
        </w:rPr>
      </w:pPr>
      <w:r>
        <w:rPr>
          <w:rFonts w:hint="eastAsia" w:hAnsi="宋体" w:cs="宋体"/>
          <w:color w:val="000000"/>
          <w:sz w:val="24"/>
        </w:rPr>
        <w:t>　　</w:t>
      </w:r>
    </w:p>
    <w:p>
      <w:pPr>
        <w:pStyle w:val="14"/>
        <w:tabs>
          <w:tab w:val="left" w:pos="5580"/>
        </w:tabs>
        <w:spacing w:line="360" w:lineRule="auto"/>
        <w:ind w:firstLine="480" w:firstLineChars="200"/>
        <w:rPr>
          <w:rFonts w:hAnsi="宋体" w:cs="宋体"/>
          <w:color w:val="000000"/>
          <w:sz w:val="24"/>
        </w:rPr>
      </w:pPr>
    </w:p>
    <w:p>
      <w:pPr>
        <w:pStyle w:val="14"/>
        <w:tabs>
          <w:tab w:val="left" w:pos="5580"/>
        </w:tabs>
        <w:spacing w:line="360" w:lineRule="auto"/>
        <w:ind w:firstLine="480" w:firstLineChars="200"/>
        <w:jc w:val="center"/>
        <w:rPr>
          <w:rFonts w:hAnsi="宋体" w:cs="宋体"/>
          <w:color w:val="000000"/>
          <w:sz w:val="24"/>
        </w:rPr>
      </w:pPr>
    </w:p>
    <w:p>
      <w:pPr>
        <w:pStyle w:val="14"/>
        <w:tabs>
          <w:tab w:val="left" w:pos="5580"/>
        </w:tabs>
        <w:spacing w:line="360" w:lineRule="auto"/>
        <w:ind w:firstLine="480" w:firstLineChars="200"/>
        <w:rPr>
          <w:rFonts w:hAnsi="宋体" w:cs="宋体"/>
          <w:color w:val="000000"/>
          <w:sz w:val="24"/>
        </w:rPr>
      </w:pPr>
    </w:p>
    <w:p>
      <w:pPr>
        <w:pStyle w:val="14"/>
        <w:tabs>
          <w:tab w:val="left" w:pos="5580"/>
        </w:tabs>
        <w:spacing w:line="360" w:lineRule="auto"/>
        <w:ind w:firstLine="480" w:firstLineChars="200"/>
        <w:rPr>
          <w:rFonts w:hAnsi="宋体" w:cs="宋体"/>
          <w:color w:val="000000"/>
          <w:sz w:val="24"/>
        </w:rPr>
      </w:pPr>
      <w:r>
        <w:rPr>
          <w:rFonts w:hAnsi="宋体" w:cs="宋体"/>
          <w:color w:val="000000"/>
          <w:sz w:val="24"/>
        </w:rPr>
        <w:pict>
          <v:shape id="_x0000_s1026" o:spid="_x0000_s1026" o:spt="202" type="#_x0000_t202" style="position:absolute;left:0pt;margin-left:105pt;margin-top:-80.6pt;height:117pt;width:243pt;z-index:251659264;mso-width-relative:page;mso-height-relative:page;" coordsize="21600,21600" o:gfxdata="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JOOW2gAAAAsBAAAPAAAAAAAAAAEAIAAAACIAAABkcnMvZG93bnJldi54bWxQSwECFAAU&#10;AAAACACHTuJAGY3F2+8BAADpAwAADgAAAAAAAAABACAAAAApAQAAZHJzL2Uyb0RvYy54bWxQSwUG&#10;AAAAAAYABgBZAQAAigUAAAAA&#10;">
            <v:path/>
            <v:fill focussize="0,0"/>
            <v:stroke joinstyle="miter"/>
            <v:imagedata o:title=""/>
            <o:lock v:ext="edit"/>
            <v:textbox>
              <w:txbxContent>
                <w:p>
                  <w:pPr>
                    <w:jc w:val="center"/>
                  </w:pPr>
                </w:p>
                <w:p>
                  <w:pPr>
                    <w:jc w:val="center"/>
                  </w:pPr>
                </w:p>
                <w:p>
                  <w:pPr>
                    <w:jc w:val="center"/>
                    <w:rPr>
                      <w:rFonts w:hint="eastAsia"/>
                      <w:sz w:val="24"/>
                    </w:rPr>
                  </w:pPr>
                </w:p>
                <w:p>
                  <w:pPr>
                    <w:jc w:val="center"/>
                    <w:rPr>
                      <w:sz w:val="24"/>
                    </w:rPr>
                  </w:pPr>
                  <w:r>
                    <w:rPr>
                      <w:rFonts w:hint="eastAsia"/>
                      <w:sz w:val="24"/>
                    </w:rPr>
                    <w:t>附</w:t>
                  </w:r>
                  <w:r>
                    <w:rPr>
                      <w:rFonts w:hint="eastAsia"/>
                      <w:sz w:val="24"/>
                      <w:lang w:val="en-US" w:eastAsia="zh-CN"/>
                    </w:rPr>
                    <w:t>法人及</w:t>
                  </w:r>
                  <w:r>
                    <w:rPr>
                      <w:rFonts w:hint="eastAsia"/>
                      <w:sz w:val="24"/>
                    </w:rPr>
                    <w:t>代理人身份证复印件</w:t>
                  </w:r>
                </w:p>
                <w:p>
                  <w:pPr>
                    <w:jc w:val="center"/>
                  </w:pPr>
                </w:p>
              </w:txbxContent>
            </v:textbox>
          </v:shape>
        </w:pict>
      </w:r>
    </w:p>
    <w:p>
      <w:pPr>
        <w:pStyle w:val="14"/>
        <w:tabs>
          <w:tab w:val="left" w:pos="5580"/>
        </w:tabs>
        <w:spacing w:line="360" w:lineRule="auto"/>
        <w:ind w:firstLine="480"/>
        <w:rPr>
          <w:rFonts w:hAnsi="宋体" w:cs="宋体"/>
          <w:color w:val="000000"/>
          <w:sz w:val="24"/>
          <w:szCs w:val="24"/>
        </w:rPr>
      </w:pPr>
    </w:p>
    <w:p>
      <w:pPr>
        <w:pStyle w:val="14"/>
        <w:tabs>
          <w:tab w:val="left" w:pos="5580"/>
        </w:tabs>
        <w:spacing w:line="360" w:lineRule="auto"/>
        <w:ind w:firstLine="480"/>
        <w:rPr>
          <w:rFonts w:hAnsi="宋体" w:cs="宋体"/>
          <w:color w:val="000000"/>
          <w:sz w:val="24"/>
          <w:szCs w:val="24"/>
        </w:rPr>
      </w:pPr>
    </w:p>
    <w:p>
      <w:pPr>
        <w:pStyle w:val="14"/>
        <w:tabs>
          <w:tab w:val="left" w:pos="5580"/>
        </w:tabs>
        <w:spacing w:line="360" w:lineRule="auto"/>
        <w:ind w:firstLine="480"/>
        <w:rPr>
          <w:rFonts w:hAnsi="宋体" w:cs="宋体"/>
          <w:color w:val="000000"/>
          <w:sz w:val="24"/>
          <w:szCs w:val="24"/>
        </w:rPr>
      </w:pPr>
      <w:r>
        <w:rPr>
          <w:rFonts w:hint="eastAsia" w:hAnsi="宋体" w:cs="宋体"/>
          <w:color w:val="000000"/>
          <w:sz w:val="24"/>
          <w:szCs w:val="24"/>
        </w:rPr>
        <w:t>本授权书于__________年_____月______日签字生效，特此声明。</w:t>
      </w:r>
    </w:p>
    <w:p>
      <w:pPr>
        <w:pStyle w:val="14"/>
        <w:tabs>
          <w:tab w:val="left" w:pos="5580"/>
        </w:tabs>
        <w:spacing w:line="360" w:lineRule="auto"/>
        <w:ind w:firstLine="480"/>
        <w:rPr>
          <w:rFonts w:hAnsi="宋体" w:cs="宋体"/>
          <w:color w:val="000000"/>
          <w:sz w:val="24"/>
        </w:rPr>
      </w:pPr>
    </w:p>
    <w:p>
      <w:pPr>
        <w:pStyle w:val="14"/>
        <w:tabs>
          <w:tab w:val="left" w:pos="5580"/>
        </w:tabs>
        <w:spacing w:line="480" w:lineRule="auto"/>
        <w:ind w:firstLine="480"/>
        <w:rPr>
          <w:rFonts w:hAnsi="宋体" w:cs="宋体"/>
          <w:color w:val="000000"/>
          <w:sz w:val="24"/>
        </w:rPr>
      </w:pPr>
      <w:r>
        <w:rPr>
          <w:rFonts w:hint="eastAsia" w:hAnsi="宋体" w:cs="宋体"/>
          <w:color w:val="000000"/>
          <w:sz w:val="24"/>
          <w:szCs w:val="24"/>
        </w:rPr>
        <w:t>供应商全称（公章）：</w:t>
      </w:r>
    </w:p>
    <w:p>
      <w:pPr>
        <w:pStyle w:val="14"/>
        <w:tabs>
          <w:tab w:val="left" w:pos="5580"/>
        </w:tabs>
        <w:spacing w:line="480" w:lineRule="auto"/>
        <w:ind w:firstLine="480"/>
        <w:rPr>
          <w:rFonts w:hAnsi="宋体" w:cs="宋体"/>
          <w:color w:val="000000"/>
          <w:sz w:val="24"/>
          <w:szCs w:val="24"/>
        </w:rPr>
      </w:pPr>
      <w:r>
        <w:rPr>
          <w:rFonts w:hint="eastAsia" w:hAnsi="宋体" w:cs="宋体"/>
          <w:color w:val="000000"/>
          <w:sz w:val="24"/>
          <w:szCs w:val="24"/>
        </w:rPr>
        <w:t>法定代表人签字________________</w:t>
      </w:r>
    </w:p>
    <w:p>
      <w:pPr>
        <w:pStyle w:val="14"/>
        <w:tabs>
          <w:tab w:val="left" w:pos="5580"/>
        </w:tabs>
        <w:spacing w:line="480" w:lineRule="auto"/>
        <w:ind w:firstLine="480"/>
        <w:rPr>
          <w:rFonts w:hAnsi="宋体" w:cs="宋体"/>
          <w:color w:val="000000"/>
          <w:sz w:val="24"/>
          <w:szCs w:val="24"/>
        </w:rPr>
      </w:pPr>
      <w:r>
        <w:rPr>
          <w:rFonts w:hint="eastAsia" w:hAnsi="宋体" w:cs="宋体"/>
          <w:color w:val="000000"/>
          <w:sz w:val="24"/>
          <w:szCs w:val="24"/>
        </w:rPr>
        <w:t>被授权人签字__________________</w:t>
      </w:r>
    </w:p>
    <w:p>
      <w:pPr>
        <w:pStyle w:val="4"/>
        <w:jc w:val="left"/>
        <w:rPr>
          <w:rFonts w:hint="eastAsia" w:ascii="仿宋" w:hAnsi="仿宋" w:eastAsia="仿宋" w:cs="仿宋"/>
          <w:color w:val="000000"/>
          <w:sz w:val="28"/>
          <w:szCs w:val="28"/>
        </w:rPr>
      </w:pPr>
      <w:r>
        <w:rPr>
          <w:rFonts w:hint="eastAsia" w:ascii="宋体" w:hAnsi="宋体" w:eastAsia="宋体" w:cs="宋体"/>
          <w:color w:val="000000"/>
        </w:rPr>
        <w:br w:type="page"/>
      </w:r>
      <w:bookmarkStart w:id="20" w:name="_Toc32666"/>
      <w:r>
        <w:rPr>
          <w:rFonts w:hint="eastAsia" w:ascii="仿宋" w:hAnsi="仿宋" w:eastAsia="仿宋" w:cs="仿宋"/>
          <w:b/>
          <w:bCs/>
          <w:color w:val="000000"/>
          <w:sz w:val="28"/>
          <w:szCs w:val="28"/>
        </w:rPr>
        <w:t>附件三：</w:t>
      </w:r>
      <w:bookmarkEnd w:id="20"/>
    </w:p>
    <w:p>
      <w:pPr>
        <w:pStyle w:val="4"/>
        <w:rPr>
          <w:rFonts w:hint="eastAsia" w:ascii="仿宋" w:hAnsi="仿宋" w:eastAsia="仿宋" w:cs="仿宋"/>
          <w:b/>
          <w:bCs/>
          <w:color w:val="000000"/>
          <w:sz w:val="28"/>
          <w:szCs w:val="28"/>
          <w:lang w:val="en-US" w:eastAsia="zh-CN"/>
        </w:rPr>
      </w:pPr>
      <w:bookmarkStart w:id="21" w:name="_Toc8791"/>
    </w:p>
    <w:p>
      <w:pPr>
        <w:pStyle w:val="4"/>
        <w:rPr>
          <w:rFonts w:ascii="宋体" w:hAnsi="宋体" w:eastAsia="宋体" w:cs="宋体"/>
          <w:b/>
          <w:bCs/>
          <w:color w:val="000000"/>
          <w:sz w:val="28"/>
          <w:szCs w:val="28"/>
        </w:rPr>
      </w:pPr>
      <w:r>
        <w:rPr>
          <w:rFonts w:hint="eastAsia" w:ascii="仿宋" w:hAnsi="仿宋" w:eastAsia="仿宋" w:cs="仿宋"/>
          <w:b/>
          <w:bCs/>
          <w:color w:val="000000"/>
          <w:sz w:val="28"/>
          <w:szCs w:val="28"/>
          <w:lang w:val="en-US" w:eastAsia="zh-CN"/>
        </w:rPr>
        <w:t>报 价</w:t>
      </w:r>
      <w:r>
        <w:rPr>
          <w:rFonts w:hint="eastAsia" w:ascii="仿宋" w:hAnsi="仿宋" w:eastAsia="仿宋" w:cs="仿宋"/>
          <w:b/>
          <w:bCs/>
          <w:color w:val="000000"/>
          <w:sz w:val="28"/>
          <w:szCs w:val="28"/>
        </w:rPr>
        <w:t xml:space="preserve"> 一 览 表</w:t>
      </w:r>
      <w:bookmarkEnd w:id="21"/>
    </w:p>
    <w:p>
      <w:pPr>
        <w:pStyle w:val="11"/>
        <w:spacing w:line="460" w:lineRule="exact"/>
        <w:jc w:val="center"/>
        <w:rPr>
          <w:rFonts w:hint="eastAsia" w:ascii="宋体" w:hAnsi="宋体" w:cs="宋体"/>
          <w:b/>
          <w:color w:val="000000"/>
          <w:sz w:val="28"/>
          <w:szCs w:val="28"/>
        </w:rPr>
      </w:pPr>
    </w:p>
    <w:p>
      <w:pPr>
        <w:pStyle w:val="11"/>
        <w:spacing w:line="460" w:lineRule="exact"/>
        <w:jc w:val="center"/>
        <w:rPr>
          <w:rFonts w:hint="eastAsia" w:ascii="宋体" w:hAnsi="宋体" w:cs="宋体"/>
          <w:b/>
          <w:color w:val="000000"/>
          <w:sz w:val="28"/>
          <w:szCs w:val="28"/>
        </w:rPr>
      </w:pPr>
      <w:r>
        <w:rPr>
          <w:rFonts w:hint="eastAsia" w:ascii="宋体" w:hAnsi="宋体" w:cs="宋体"/>
          <w:b/>
          <w:color w:val="000000"/>
          <w:sz w:val="28"/>
          <w:szCs w:val="28"/>
        </w:rPr>
        <w:t>（须单独密封，用于公开唱标）</w:t>
      </w:r>
    </w:p>
    <w:p>
      <w:pPr>
        <w:pStyle w:val="12"/>
        <w:rPr>
          <w:rFonts w:hint="eastAsia" w:ascii="宋体" w:hAnsi="宋体" w:cs="宋体"/>
          <w:b/>
          <w:color w:val="000000"/>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right="297" w:rightChars="135"/>
        <w:textAlignment w:val="auto"/>
        <w:rPr>
          <w:rFonts w:hint="eastAsia" w:ascii="宋体" w:hAnsi="宋体" w:eastAsia="仿宋" w:cs="宋体"/>
          <w:color w:val="000000"/>
          <w:sz w:val="24"/>
          <w:szCs w:val="24"/>
          <w:lang w:eastAsia="zh-CN"/>
        </w:rPr>
      </w:pPr>
      <w:r>
        <w:rPr>
          <w:rFonts w:hint="eastAsia" w:ascii="宋体" w:hAnsi="宋体" w:eastAsia="仿宋" w:cs="宋体"/>
          <w:color w:val="000000"/>
          <w:sz w:val="24"/>
          <w:szCs w:val="24"/>
          <w:lang w:eastAsia="zh-CN"/>
        </w:rPr>
        <w:t>项目编号：</w:t>
      </w: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right="297" w:rightChars="135"/>
        <w:textAlignment w:val="auto"/>
        <w:rPr>
          <w:rFonts w:hint="eastAsia" w:ascii="宋体" w:hAnsi="宋体" w:eastAsia="仿宋" w:cs="宋体"/>
          <w:color w:val="000000"/>
          <w:sz w:val="24"/>
          <w:szCs w:val="24"/>
          <w:lang w:eastAsia="zh-CN"/>
        </w:rPr>
      </w:pPr>
      <w:r>
        <w:rPr>
          <w:rFonts w:hint="eastAsia" w:ascii="宋体" w:hAnsi="宋体" w:eastAsia="仿宋" w:cs="宋体"/>
          <w:color w:val="000000"/>
          <w:sz w:val="24"/>
          <w:szCs w:val="24"/>
          <w:lang w:eastAsia="zh-CN"/>
        </w:rPr>
        <w:t>项目名称：</w:t>
      </w: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right="297" w:rightChars="135"/>
        <w:textAlignment w:val="auto"/>
        <w:rPr>
          <w:rFonts w:hint="eastAsia" w:ascii="宋体" w:hAnsi="宋体" w:eastAsia="仿宋" w:cs="宋体"/>
          <w:color w:val="000000"/>
          <w:sz w:val="24"/>
          <w:szCs w:val="24"/>
          <w:lang w:eastAsia="zh-CN"/>
        </w:rPr>
      </w:pPr>
      <w:r>
        <w:rPr>
          <w:rFonts w:hint="eastAsia" w:ascii="宋体" w:hAnsi="宋体" w:eastAsia="仿宋" w:cs="宋体"/>
          <w:color w:val="000000"/>
          <w:sz w:val="24"/>
          <w:szCs w:val="24"/>
          <w:lang w:eastAsia="zh-CN"/>
        </w:rPr>
        <w:t>供应商全称（公章）：</w:t>
      </w: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right="297" w:rightChars="135"/>
        <w:textAlignment w:val="auto"/>
        <w:rPr>
          <w:rFonts w:hAnsi="宋体" w:cs="宋体"/>
          <w:color w:val="000000"/>
          <w:sz w:val="24"/>
          <w:szCs w:val="24"/>
        </w:rPr>
      </w:pPr>
      <w:r>
        <w:rPr>
          <w:rFonts w:hint="eastAsia" w:ascii="宋体" w:hAnsi="宋体" w:eastAsia="仿宋" w:cs="宋体"/>
          <w:color w:val="000000"/>
          <w:sz w:val="24"/>
          <w:szCs w:val="24"/>
          <w:lang w:eastAsia="zh-CN"/>
        </w:rPr>
        <w:t>法定代表人或授权代理人（签字）</w:t>
      </w:r>
      <w:r>
        <w:rPr>
          <w:rFonts w:hint="eastAsia" w:hAnsi="宋体" w:cs="宋体"/>
          <w:color w:val="000000"/>
          <w:sz w:val="24"/>
          <w:szCs w:val="24"/>
        </w:rPr>
        <w:t>：________________</w:t>
      </w:r>
    </w:p>
    <w:p>
      <w:pPr>
        <w:pStyle w:val="12"/>
        <w:jc w:val="right"/>
        <w:rPr>
          <w:rFonts w:hint="default" w:ascii="宋体" w:hAnsi="宋体" w:eastAsia="仿宋" w:cs="宋体"/>
          <w:bCs/>
          <w:color w:val="000000"/>
          <w:sz w:val="24"/>
          <w:szCs w:val="22"/>
          <w:lang w:val="en-US" w:eastAsia="zh-CN" w:bidi="ja-JP"/>
        </w:rPr>
      </w:pPr>
      <w:r>
        <w:rPr>
          <w:rFonts w:hint="eastAsia" w:ascii="宋体" w:hAnsi="宋体" w:eastAsia="仿宋" w:cs="宋体"/>
          <w:bCs/>
          <w:color w:val="000000"/>
          <w:sz w:val="24"/>
          <w:szCs w:val="22"/>
          <w:lang w:val="en-US" w:eastAsia="zh-CN" w:bidi="ja-JP"/>
        </w:rPr>
        <w:t>单位：元</w:t>
      </w:r>
      <w:r>
        <w:rPr>
          <w:rFonts w:hint="eastAsia" w:hAnsi="宋体" w:eastAsia="仿宋" w:cs="宋体"/>
          <w:bCs/>
          <w:color w:val="000000"/>
          <w:sz w:val="24"/>
          <w:szCs w:val="22"/>
          <w:lang w:val="en-US" w:eastAsia="zh-CN" w:bidi="ja-JP"/>
        </w:rPr>
        <w:t>（人民币）</w:t>
      </w:r>
    </w:p>
    <w:tbl>
      <w:tblPr>
        <w:tblStyle w:val="21"/>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2441" w:type="dxa"/>
            <w:vAlign w:val="center"/>
          </w:tcPr>
          <w:p>
            <w:pPr>
              <w:tabs>
                <w:tab w:val="left" w:pos="764"/>
              </w:tabs>
              <w:snapToGrid w:val="0"/>
              <w:spacing w:line="360" w:lineRule="auto"/>
              <w:jc w:val="center"/>
              <w:rPr>
                <w:rFonts w:ascii="宋体" w:hAnsi="宋体" w:cs="宋体"/>
                <w:bCs/>
                <w:color w:val="000000"/>
                <w:sz w:val="24"/>
              </w:rPr>
            </w:pPr>
            <w:r>
              <w:rPr>
                <w:rFonts w:hint="eastAsia" w:ascii="宋体" w:hAnsi="宋体" w:cs="宋体"/>
                <w:bCs/>
                <w:color w:val="000000"/>
                <w:sz w:val="24"/>
              </w:rPr>
              <w:t>磋商前基础报价</w:t>
            </w:r>
          </w:p>
        </w:tc>
        <w:tc>
          <w:tcPr>
            <w:tcW w:w="7158" w:type="dxa"/>
            <w:vAlign w:val="center"/>
          </w:tcPr>
          <w:p>
            <w:pPr>
              <w:tabs>
                <w:tab w:val="left" w:pos="764"/>
              </w:tabs>
              <w:snapToGrid w:val="0"/>
              <w:spacing w:line="360" w:lineRule="auto"/>
              <w:jc w:val="left"/>
              <w:rPr>
                <w:rFonts w:hint="default" w:ascii="宋体" w:hAnsi="宋体" w:cs="宋体"/>
                <w:bCs/>
                <w:color w:val="000000"/>
                <w:sz w:val="24"/>
                <w:lang w:val="en-US" w:eastAsia="zh-CN"/>
              </w:rPr>
            </w:pPr>
            <w:r>
              <w:rPr>
                <w:rFonts w:hint="eastAsia" w:ascii="宋体" w:hAnsi="宋体" w:cs="宋体"/>
                <w:bCs/>
                <w:color w:val="000000"/>
                <w:sz w:val="24"/>
                <w:lang w:val="en-US" w:eastAsia="zh-CN"/>
              </w:rPr>
              <w:t>大写：</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lang w:val="en-US" w:eastAsia="zh-CN"/>
              </w:rPr>
              <w:t xml:space="preserve">每年             </w:t>
            </w:r>
          </w:p>
          <w:p>
            <w:pPr>
              <w:pStyle w:val="4"/>
              <w:rPr>
                <w:rFonts w:hint="eastAsia"/>
                <w:lang w:val="en-US" w:eastAsia="zh-CN"/>
              </w:rPr>
            </w:pPr>
          </w:p>
          <w:p>
            <w:pPr>
              <w:tabs>
                <w:tab w:val="left" w:pos="764"/>
              </w:tabs>
              <w:snapToGrid w:val="0"/>
              <w:spacing w:line="360" w:lineRule="auto"/>
              <w:jc w:val="left"/>
              <w:rPr>
                <w:rFonts w:hint="default"/>
                <w:lang w:val="en-US" w:eastAsia="zh-CN"/>
              </w:rPr>
            </w:pPr>
            <w:r>
              <w:rPr>
                <w:rFonts w:hint="eastAsia" w:ascii="宋体" w:hAnsi="宋体" w:cs="宋体"/>
                <w:bCs/>
                <w:color w:val="000000"/>
                <w:sz w:val="24"/>
                <w:lang w:val="en-US" w:eastAsia="zh-CN"/>
              </w:rPr>
              <w:t>小写：</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lang w:val="en-US" w:eastAsia="zh-CN"/>
              </w:rPr>
              <w:t xml:space="preserve">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441" w:type="dxa"/>
            <w:vAlign w:val="center"/>
          </w:tcPr>
          <w:p>
            <w:pPr>
              <w:tabs>
                <w:tab w:val="left" w:pos="764"/>
              </w:tabs>
              <w:snapToGrid w:val="0"/>
              <w:spacing w:line="360" w:lineRule="auto"/>
              <w:jc w:val="center"/>
              <w:rPr>
                <w:rFonts w:hint="eastAsia" w:ascii="宋体" w:hAnsi="宋体" w:eastAsia="仿宋" w:cs="宋体"/>
                <w:bCs/>
                <w:color w:val="000000"/>
                <w:sz w:val="24"/>
                <w:highlight w:val="none"/>
                <w:lang w:eastAsia="zh-CN"/>
              </w:rPr>
            </w:pPr>
            <w:r>
              <w:rPr>
                <w:rFonts w:hint="eastAsia" w:ascii="宋体" w:hAnsi="宋体" w:cs="宋体"/>
                <w:bCs/>
                <w:color w:val="000000"/>
                <w:sz w:val="24"/>
                <w:highlight w:val="none"/>
                <w:lang w:val="en-US" w:eastAsia="zh-CN"/>
              </w:rPr>
              <w:t>服务期</w:t>
            </w:r>
          </w:p>
        </w:tc>
        <w:tc>
          <w:tcPr>
            <w:tcW w:w="7158" w:type="dxa"/>
            <w:vAlign w:val="center"/>
          </w:tcPr>
          <w:p>
            <w:pPr>
              <w:tabs>
                <w:tab w:val="left" w:pos="764"/>
              </w:tabs>
              <w:snapToGrid w:val="0"/>
              <w:spacing w:line="360" w:lineRule="auto"/>
              <w:jc w:val="center"/>
              <w:rPr>
                <w:rFonts w:hint="eastAsia" w:ascii="宋体" w:hAnsi="宋体" w:eastAsia="仿宋" w:cs="宋体"/>
                <w:b/>
                <w:bCs/>
                <w:color w:val="000000"/>
                <w:sz w:val="24"/>
                <w:highlight w:val="none"/>
                <w:lang w:val="en-US" w:eastAsia="zh-CN"/>
              </w:rPr>
            </w:pPr>
            <w:r>
              <w:rPr>
                <w:rFonts w:hint="eastAsia" w:ascii="宋体" w:hAnsi="宋体" w:cs="宋体"/>
                <w:bCs/>
                <w:color w:val="000000"/>
                <w:sz w:val="24"/>
                <w:highlight w:val="none"/>
                <w:lang w:val="en-US" w:eastAsia="zh-CN"/>
              </w:rPr>
              <w:t>服务期2年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2441" w:type="dxa"/>
            <w:vAlign w:val="center"/>
          </w:tcPr>
          <w:p>
            <w:pPr>
              <w:tabs>
                <w:tab w:val="left" w:pos="764"/>
              </w:tabs>
              <w:snapToGrid w:val="0"/>
              <w:spacing w:line="360" w:lineRule="auto"/>
              <w:jc w:val="center"/>
              <w:rPr>
                <w:rFonts w:ascii="宋体" w:hAnsi="宋体" w:cs="宋体"/>
                <w:bCs/>
                <w:color w:val="000000"/>
                <w:sz w:val="24"/>
              </w:rPr>
            </w:pPr>
            <w:r>
              <w:rPr>
                <w:rFonts w:hint="eastAsia" w:ascii="宋体" w:hAnsi="宋体" w:cs="宋体"/>
                <w:bCs/>
                <w:color w:val="000000"/>
                <w:sz w:val="24"/>
              </w:rPr>
              <w:t>对竞争性磋商文件及合同条款的认同程度</w:t>
            </w:r>
          </w:p>
        </w:tc>
        <w:tc>
          <w:tcPr>
            <w:tcW w:w="7158" w:type="dxa"/>
            <w:vAlign w:val="center"/>
          </w:tcPr>
          <w:p>
            <w:pPr>
              <w:tabs>
                <w:tab w:val="left" w:pos="764"/>
              </w:tabs>
              <w:snapToGrid w:val="0"/>
              <w:spacing w:line="360" w:lineRule="auto"/>
              <w:jc w:val="center"/>
              <w:rPr>
                <w:rFonts w:ascii="宋体" w:hAnsi="宋体" w:cs="宋体"/>
                <w:bCs/>
                <w:color w:val="000000"/>
                <w:sz w:val="24"/>
              </w:rPr>
            </w:pPr>
            <w:r>
              <w:rPr>
                <w:rFonts w:hint="eastAsia" w:ascii="宋体" w:hAnsi="宋体" w:cs="宋体"/>
                <w:bCs/>
                <w:color w:val="000000"/>
                <w:sz w:val="24"/>
              </w:rPr>
              <w:t>完全认同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1" w:hRule="atLeast"/>
          <w:jc w:val="center"/>
        </w:trPr>
        <w:tc>
          <w:tcPr>
            <w:tcW w:w="9599" w:type="dxa"/>
            <w:gridSpan w:val="2"/>
          </w:tcPr>
          <w:p>
            <w:pPr>
              <w:tabs>
                <w:tab w:val="left" w:pos="764"/>
              </w:tabs>
              <w:snapToGrid w:val="0"/>
              <w:spacing w:line="360" w:lineRule="auto"/>
              <w:rPr>
                <w:rFonts w:ascii="宋体" w:hAnsi="宋体" w:cs="宋体"/>
                <w:bCs/>
                <w:color w:val="000000"/>
                <w:sz w:val="24"/>
              </w:rPr>
            </w:pPr>
            <w:r>
              <w:rPr>
                <w:rFonts w:hint="eastAsia" w:ascii="宋体" w:hAnsi="宋体" w:cs="宋体"/>
                <w:bCs/>
                <w:color w:val="000000"/>
                <w:sz w:val="24"/>
              </w:rPr>
              <w:t>注：1、各供应商严格按以上格式进行填写，不得有空项、漏项，否则其报价按无效标处理。</w:t>
            </w:r>
          </w:p>
          <w:p>
            <w:pPr>
              <w:tabs>
                <w:tab w:val="left" w:pos="764"/>
              </w:tabs>
              <w:snapToGrid w:val="0"/>
              <w:spacing w:line="360" w:lineRule="auto"/>
              <w:rPr>
                <w:rFonts w:ascii="宋体" w:hAnsi="宋体" w:cs="宋体"/>
                <w:color w:val="000000"/>
                <w:sz w:val="24"/>
              </w:rPr>
            </w:pPr>
            <w:r>
              <w:rPr>
                <w:rFonts w:hint="eastAsia" w:ascii="宋体" w:hAnsi="宋体" w:cs="宋体"/>
                <w:color w:val="000000"/>
                <w:sz w:val="24"/>
              </w:rPr>
              <w:t>2、</w:t>
            </w:r>
            <w:r>
              <w:rPr>
                <w:rFonts w:hint="eastAsia" w:ascii="宋体" w:hAnsi="宋体" w:cs="宋体"/>
                <w:bCs/>
                <w:color w:val="000000"/>
                <w:sz w:val="24"/>
              </w:rPr>
              <w:t>本开标一览表必须单独密封（一式三份），否则按无效报价处理</w:t>
            </w:r>
            <w:r>
              <w:rPr>
                <w:rFonts w:hint="eastAsia" w:ascii="宋体" w:hAnsi="宋体" w:cs="宋体"/>
                <w:color w:val="000000"/>
              </w:rPr>
              <w:t xml:space="preserve">。    </w:t>
            </w:r>
          </w:p>
        </w:tc>
      </w:tr>
    </w:tbl>
    <w:p>
      <w:pPr>
        <w:pStyle w:val="9"/>
        <w:spacing w:before="0" w:after="0" w:line="480" w:lineRule="auto"/>
        <w:ind w:right="297" w:rightChars="135"/>
        <w:rPr>
          <w:rFonts w:ascii="宋体" w:hAnsi="宋体" w:eastAsia="宋体" w:cs="宋体"/>
          <w:color w:val="000000"/>
          <w:sz w:val="24"/>
          <w:szCs w:val="24"/>
        </w:rPr>
      </w:pPr>
    </w:p>
    <w:p>
      <w:pPr>
        <w:pStyle w:val="9"/>
        <w:spacing w:before="0" w:after="0" w:line="480" w:lineRule="auto"/>
        <w:ind w:right="297" w:rightChars="135"/>
        <w:jc w:val="right"/>
        <w:rPr>
          <w:rFonts w:hAnsi="宋体" w:cs="宋体"/>
          <w:color w:val="000000"/>
          <w:sz w:val="24"/>
          <w:szCs w:val="24"/>
        </w:rPr>
      </w:pPr>
      <w:r>
        <w:rPr>
          <w:rFonts w:hint="eastAsia" w:ascii="仿宋" w:hAnsi="仿宋" w:eastAsia="仿宋" w:cs="仿宋"/>
          <w:color w:val="000000"/>
          <w:sz w:val="24"/>
        </w:rPr>
        <w:t>年   月   日</w:t>
      </w:r>
    </w:p>
    <w:p>
      <w:pPr>
        <w:jc w:val="center"/>
        <w:rPr>
          <w:rFonts w:hint="eastAsia" w:ascii="仿宋" w:hAnsi="仿宋" w:eastAsia="仿宋" w:cs="仿宋"/>
          <w:color w:val="000000"/>
          <w:sz w:val="32"/>
        </w:rPr>
      </w:pPr>
      <w:bookmarkStart w:id="22" w:name="_Toc2958"/>
      <w:r>
        <w:rPr>
          <w:rFonts w:hint="eastAsia" w:ascii="宋体" w:hAnsi="宋体" w:eastAsia="宋体" w:cs="宋体"/>
          <w:color w:val="000000"/>
          <w:sz w:val="24"/>
          <w:szCs w:val="24"/>
        </w:rPr>
        <w:br w:type="page"/>
      </w:r>
      <w:r>
        <w:rPr>
          <w:rFonts w:hint="eastAsia" w:ascii="仿宋" w:hAnsi="仿宋" w:eastAsia="仿宋" w:cs="仿宋"/>
          <w:color w:val="000000"/>
          <w:sz w:val="32"/>
        </w:rPr>
        <w:t>分项报价明细表</w:t>
      </w:r>
    </w:p>
    <w:p>
      <w:pPr>
        <w:jc w:val="center"/>
        <w:rPr>
          <w:rFonts w:hint="eastAsia" w:cs="仿宋"/>
          <w:color w:val="000000"/>
          <w:sz w:val="32"/>
          <w:lang w:eastAsia="zh-CN"/>
        </w:rPr>
      </w:pPr>
    </w:p>
    <w:p>
      <w:pPr>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项目名称：</w:t>
      </w:r>
      <w:r>
        <w:rPr>
          <w:rFonts w:hint="eastAsia" w:cs="仿宋"/>
          <w:color w:val="000000"/>
          <w:sz w:val="24"/>
          <w:szCs w:val="24"/>
          <w:lang w:val="en-US" w:eastAsia="zh-CN"/>
        </w:rPr>
        <w:t xml:space="preserve">          </w:t>
      </w:r>
      <w:r>
        <w:rPr>
          <w:rFonts w:hint="eastAsia" w:ascii="仿宋" w:hAnsi="仿宋" w:eastAsia="仿宋" w:cs="仿宋"/>
          <w:color w:val="000000"/>
          <w:sz w:val="24"/>
          <w:szCs w:val="24"/>
          <w:lang w:val="en-US" w:eastAsia="zh-CN"/>
        </w:rPr>
        <w:t>项目编号：</w:t>
      </w:r>
    </w:p>
    <w:p>
      <w:pPr>
        <w:jc w:val="left"/>
        <w:rPr>
          <w:rFonts w:hint="eastAsia" w:ascii="仿宋" w:hAnsi="仿宋" w:eastAsia="仿宋" w:cs="仿宋"/>
          <w:color w:val="000000"/>
          <w:sz w:val="24"/>
          <w:szCs w:val="24"/>
          <w:lang w:val="en-US" w:eastAsia="zh-CN"/>
        </w:rPr>
      </w:pPr>
    </w:p>
    <w:tbl>
      <w:tblPr>
        <w:tblStyle w:val="2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16"/>
        <w:gridCol w:w="2434"/>
        <w:gridCol w:w="776"/>
        <w:gridCol w:w="776"/>
        <w:gridCol w:w="776"/>
        <w:gridCol w:w="776"/>
        <w:gridCol w:w="203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 xml:space="preserve"> 序号</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合价</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螺杆冷水机组维保</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shd w:val="clear" w:color="auto" w:fill="auto"/>
            <w:noWrap/>
            <w:vAlign w:val="center"/>
          </w:tcPr>
          <w:p>
            <w:pPr>
              <w:rPr>
                <w:rFonts w:hint="eastAsia" w:ascii="宋体" w:hAnsi="宋体" w:eastAsia="宋体" w:cs="宋体"/>
                <w:i w:val="0"/>
                <w:iCs w:val="0"/>
                <w:color w:val="000000"/>
                <w:sz w:val="24"/>
                <w:szCs w:val="24"/>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YORK/YS</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涡旋式冷水机组维保</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YORK/YCWE</w:t>
            </w:r>
          </w:p>
        </w:tc>
        <w:tc>
          <w:tcPr>
            <w:tcW w:w="0" w:type="auto"/>
            <w:shd w:val="clear" w:color="auto" w:fill="auto"/>
            <w:vAlign w:val="top"/>
          </w:tcPr>
          <w:p>
            <w:pPr>
              <w:jc w:val="lef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水泵电机维修</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JO2-4</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水泵更换机械密封</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150/345-30/4</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更换冷却塔电机及风扇</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CDW100ASY</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r>
              <w:rPr>
                <w:rFonts w:hint="default" w:ascii="Times New Roman" w:hAnsi="Times New Roman" w:eastAsia="宋体" w:cs="Times New Roman"/>
                <w:i w:val="0"/>
                <w:iCs w:val="0"/>
                <w:color w:val="000000"/>
                <w:kern w:val="0"/>
                <w:sz w:val="24"/>
                <w:szCs w:val="24"/>
                <w:u w:val="none"/>
                <w:lang w:val="en-US" w:eastAsia="zh-CN" w:bidi="ar"/>
              </w:rPr>
              <w:t>3</w:t>
            </w:r>
            <w:r>
              <w:rPr>
                <w:rStyle w:val="3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制冷剂R22</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罐</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更换风机盘管</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FP-8</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r>
              <w:rPr>
                <w:rFonts w:hint="default" w:ascii="Times New Roman" w:hAnsi="Times New Roman" w:eastAsia="宋体" w:cs="Times New Roman"/>
                <w:i w:val="0"/>
                <w:iCs w:val="0"/>
                <w:color w:val="000000"/>
                <w:kern w:val="0"/>
                <w:sz w:val="24"/>
                <w:szCs w:val="24"/>
                <w:u w:val="none"/>
                <w:lang w:val="en-US" w:eastAsia="zh-CN" w:bidi="ar"/>
              </w:rPr>
              <w:t>5</w:t>
            </w:r>
            <w:r>
              <w:rPr>
                <w:rStyle w:val="3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ABB交流接触器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EH  210</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r>
              <w:rPr>
                <w:rFonts w:hint="default" w:ascii="Times New Roman" w:hAnsi="Times New Roman" w:eastAsia="宋体" w:cs="Times New Roman"/>
                <w:i w:val="0"/>
                <w:iCs w:val="0"/>
                <w:color w:val="000000"/>
                <w:kern w:val="0"/>
                <w:sz w:val="24"/>
                <w:szCs w:val="24"/>
                <w:u w:val="none"/>
                <w:lang w:val="en-US" w:eastAsia="zh-CN" w:bidi="ar"/>
              </w:rPr>
              <w:t>3</w:t>
            </w:r>
            <w:r>
              <w:rPr>
                <w:rStyle w:val="3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约克 YS 冷冻油（C）</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C油</w:t>
            </w: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约克供油过滤器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026-32831-000</w:t>
            </w: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引射回油过滤器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026-32839-000</w:t>
            </w: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干燥过滤器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026-32841-000</w:t>
            </w: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小机组相序保护器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水泵热继电器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水泵接触器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CJ20-63</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r>
              <w:rPr>
                <w:rFonts w:hint="default" w:ascii="Times New Roman" w:hAnsi="Times New Roman" w:eastAsia="宋体" w:cs="Times New Roman"/>
                <w:i w:val="0"/>
                <w:iCs w:val="0"/>
                <w:color w:val="000000"/>
                <w:kern w:val="0"/>
                <w:sz w:val="24"/>
                <w:szCs w:val="24"/>
                <w:u w:val="none"/>
                <w:lang w:val="en-US" w:eastAsia="zh-CN" w:bidi="ar"/>
              </w:rPr>
              <w:t>3</w:t>
            </w:r>
            <w:r>
              <w:rPr>
                <w:rStyle w:val="3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蒸发器压力传感器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r>
              <w:rPr>
                <w:rFonts w:hint="default" w:ascii="Times New Roman" w:hAnsi="Times New Roman" w:eastAsia="宋体" w:cs="Times New Roman"/>
                <w:i w:val="0"/>
                <w:iCs w:val="0"/>
                <w:color w:val="000000"/>
                <w:kern w:val="0"/>
                <w:sz w:val="24"/>
                <w:szCs w:val="24"/>
                <w:u w:val="none"/>
                <w:lang w:val="en-US" w:eastAsia="zh-CN" w:bidi="ar"/>
              </w:rPr>
              <w:t>3</w:t>
            </w:r>
            <w:r>
              <w:rPr>
                <w:rStyle w:val="3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冷却水温度传感器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r>
              <w:rPr>
                <w:rFonts w:hint="default" w:ascii="Times New Roman" w:hAnsi="Times New Roman" w:eastAsia="宋体" w:cs="Times New Roman"/>
                <w:i w:val="0"/>
                <w:iCs w:val="0"/>
                <w:color w:val="000000"/>
                <w:kern w:val="0"/>
                <w:sz w:val="24"/>
                <w:szCs w:val="24"/>
                <w:u w:val="none"/>
                <w:lang w:val="en-US" w:eastAsia="zh-CN" w:bidi="ar"/>
              </w:rPr>
              <w:t>3</w:t>
            </w:r>
            <w:r>
              <w:rPr>
                <w:rStyle w:val="38"/>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冷却水泵启动变频器</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盘管进出水（过滤器、球阀、软连接、保温）</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0" w:type="auto"/>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含连接管件及弯头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DN32PVC冷凝水管</w:t>
            </w:r>
          </w:p>
        </w:tc>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w:t>
            </w:r>
          </w:p>
        </w:tc>
        <w:tc>
          <w:tcPr>
            <w:tcW w:w="0" w:type="auto"/>
            <w:shd w:val="clear" w:color="auto" w:fill="auto"/>
            <w:noWrap/>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DN50PPR水管</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清洗进出风口</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210</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中央空调机组托管</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人工费</w:t>
            </w: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center"/>
              <w:rPr>
                <w:rFonts w:hint="eastAsia" w:ascii="宋体" w:hAnsi="宋体" w:eastAsia="宋体" w:cs="宋体"/>
                <w:i w:val="0"/>
                <w:iCs w:val="0"/>
                <w:color w:val="000000"/>
                <w:sz w:val="28"/>
                <w:szCs w:val="28"/>
                <w:u w:val="none"/>
              </w:rPr>
            </w:pPr>
          </w:p>
        </w:tc>
        <w:tc>
          <w:tcPr>
            <w:tcW w:w="0" w:type="auto"/>
            <w:shd w:val="clear" w:color="auto" w:fill="auto"/>
            <w:vAlign w:val="top"/>
          </w:tcPr>
          <w:p>
            <w:pPr>
              <w:jc w:val="lef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gridSpan w:val="5"/>
            <w:shd w:val="clear" w:color="auto" w:fill="auto"/>
            <w:vAlign w:val="top"/>
          </w:tcPr>
          <w:p>
            <w:pPr>
              <w:jc w:val="both"/>
              <w:rPr>
                <w:rFonts w:hint="default" w:ascii="Times New Roman" w:hAnsi="Times New Roman" w:eastAsia="宋体" w:cs="Times New Roman"/>
                <w:i w:val="0"/>
                <w:iCs w:val="0"/>
                <w:color w:val="000000"/>
                <w:sz w:val="22"/>
                <w:szCs w:val="22"/>
                <w:u w:val="none"/>
              </w:rPr>
            </w:pPr>
          </w:p>
        </w:tc>
      </w:tr>
    </w:tbl>
    <w:p>
      <w:pPr>
        <w:pStyle w:val="9"/>
        <w:spacing w:before="0" w:after="0" w:line="480" w:lineRule="auto"/>
        <w:ind w:right="297" w:rightChars="135"/>
        <w:rPr>
          <w:rFonts w:hint="eastAsia" w:ascii="仿宋" w:hAnsi="仿宋" w:eastAsia="仿宋" w:cs="仿宋"/>
          <w:color w:val="000000"/>
          <w:sz w:val="24"/>
          <w:szCs w:val="24"/>
          <w:vertAlign w:val="baseline"/>
          <w:lang w:val="ja-JP" w:eastAsia="zh-CN" w:bidi="ja-JP"/>
        </w:rPr>
      </w:pPr>
      <w:r>
        <w:rPr>
          <w:rFonts w:hint="eastAsia" w:ascii="仿宋" w:hAnsi="仿宋" w:eastAsia="仿宋" w:cs="仿宋"/>
          <w:color w:val="000000"/>
          <w:sz w:val="24"/>
          <w:szCs w:val="24"/>
          <w:vertAlign w:val="baseline"/>
          <w:lang w:val="ja-JP" w:eastAsia="zh-CN" w:bidi="ja-JP"/>
        </w:rPr>
        <w:t>说明：此表可根据需要同格式扩展。</w:t>
      </w:r>
    </w:p>
    <w:p>
      <w:pPr>
        <w:pStyle w:val="9"/>
        <w:spacing w:before="0" w:after="0" w:line="480" w:lineRule="auto"/>
        <w:ind w:right="297" w:rightChars="135"/>
        <w:rPr>
          <w:rFonts w:ascii="宋体" w:hAnsi="宋体" w:eastAsia="仿宋" w:cs="宋体"/>
          <w:color w:val="000000"/>
          <w:sz w:val="24"/>
          <w:szCs w:val="24"/>
        </w:rPr>
      </w:pPr>
      <w:r>
        <w:rPr>
          <w:rFonts w:hint="eastAsia" w:ascii="宋体" w:hAnsi="宋体" w:eastAsia="仿宋" w:cs="宋体"/>
          <w:color w:val="000000"/>
          <w:sz w:val="24"/>
          <w:szCs w:val="24"/>
        </w:rPr>
        <w:t>供应商全称（公章）：</w:t>
      </w:r>
    </w:p>
    <w:p>
      <w:pPr>
        <w:pStyle w:val="14"/>
        <w:tabs>
          <w:tab w:val="left" w:pos="5580"/>
        </w:tabs>
        <w:spacing w:line="480" w:lineRule="auto"/>
        <w:rPr>
          <w:rFonts w:hAnsi="宋体" w:cs="宋体"/>
          <w:color w:val="000000"/>
          <w:sz w:val="24"/>
          <w:szCs w:val="24"/>
        </w:rPr>
      </w:pPr>
      <w:r>
        <w:rPr>
          <w:rFonts w:hint="eastAsia" w:hAnsi="宋体" w:cs="宋体"/>
          <w:color w:val="000000"/>
          <w:sz w:val="24"/>
          <w:szCs w:val="24"/>
        </w:rPr>
        <w:t>法定代表人或授权代理人（签字）：________________</w:t>
      </w:r>
    </w:p>
    <w:p>
      <w:pPr>
        <w:pStyle w:val="9"/>
        <w:spacing w:before="0" w:after="0" w:line="480" w:lineRule="auto"/>
        <w:ind w:right="297" w:rightChars="135"/>
        <w:jc w:val="right"/>
        <w:rPr>
          <w:rFonts w:hint="eastAsia" w:ascii="宋体" w:hAnsi="宋体" w:eastAsia="宋体" w:cs="宋体"/>
          <w:color w:val="000000"/>
          <w:sz w:val="24"/>
          <w:szCs w:val="24"/>
        </w:rPr>
      </w:pPr>
      <w:r>
        <w:rPr>
          <w:rFonts w:hint="eastAsia" w:ascii="仿宋" w:hAnsi="仿宋" w:eastAsia="仿宋" w:cs="仿宋"/>
          <w:color w:val="000000"/>
          <w:sz w:val="24"/>
        </w:rPr>
        <w:t>年   月   日</w:t>
      </w:r>
      <w:r>
        <w:rPr>
          <w:rFonts w:hint="eastAsia" w:ascii="宋体" w:hAnsi="宋体" w:eastAsia="宋体" w:cs="宋体"/>
          <w:color w:val="000000"/>
          <w:sz w:val="24"/>
          <w:szCs w:val="24"/>
        </w:rPr>
        <w:br w:type="page"/>
      </w:r>
    </w:p>
    <w:p>
      <w:pPr>
        <w:rPr>
          <w:rFonts w:hint="eastAsia" w:ascii="宋体" w:hAnsi="宋体" w:eastAsia="宋体" w:cs="宋体"/>
          <w:color w:val="000000"/>
          <w:sz w:val="24"/>
          <w:szCs w:val="24"/>
        </w:rPr>
      </w:pPr>
    </w:p>
    <w:p>
      <w:pPr>
        <w:adjustRightInd w:val="0"/>
        <w:snapToGrid w:val="0"/>
        <w:spacing w:line="480" w:lineRule="atLeas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附件</w:t>
      </w:r>
      <w:r>
        <w:rPr>
          <w:rFonts w:hint="eastAsia" w:ascii="仿宋" w:hAnsi="仿宋" w:eastAsia="仿宋" w:cs="仿宋"/>
          <w:b/>
          <w:bCs/>
          <w:color w:val="000000"/>
          <w:sz w:val="24"/>
          <w:szCs w:val="24"/>
          <w:lang w:val="en-US" w:eastAsia="zh-CN"/>
        </w:rPr>
        <w:t>四</w:t>
      </w:r>
      <w:r>
        <w:rPr>
          <w:rFonts w:hint="eastAsia" w:ascii="仿宋" w:hAnsi="仿宋" w:eastAsia="仿宋" w:cs="仿宋"/>
          <w:b/>
          <w:bCs/>
          <w:color w:val="000000"/>
          <w:sz w:val="24"/>
          <w:szCs w:val="24"/>
        </w:rPr>
        <w:t>：</w:t>
      </w:r>
    </w:p>
    <w:p>
      <w:pPr>
        <w:jc w:val="center"/>
        <w:rPr>
          <w:rFonts w:hint="eastAsia" w:ascii="仿宋" w:hAnsi="仿宋" w:eastAsia="仿宋" w:cs="仿宋"/>
          <w:sz w:val="28"/>
          <w:szCs w:val="24"/>
        </w:rPr>
      </w:pPr>
      <w:r>
        <w:rPr>
          <w:rFonts w:hint="eastAsia" w:ascii="仿宋" w:hAnsi="仿宋" w:eastAsia="仿宋" w:cs="仿宋"/>
          <w:sz w:val="28"/>
          <w:szCs w:val="24"/>
          <w:lang w:val="en-US" w:eastAsia="zh-CN"/>
        </w:rPr>
        <w:t>供应商</w:t>
      </w:r>
      <w:r>
        <w:rPr>
          <w:rFonts w:hint="eastAsia" w:ascii="仿宋" w:hAnsi="仿宋" w:eastAsia="仿宋" w:cs="仿宋"/>
          <w:sz w:val="28"/>
          <w:szCs w:val="24"/>
        </w:rPr>
        <w:t>基本情况表</w:t>
      </w:r>
    </w:p>
    <w:p>
      <w:pPr>
        <w:adjustRightInd w:val="0"/>
        <w:snapToGrid w:val="0"/>
        <w:spacing w:line="480" w:lineRule="atLeast"/>
        <w:jc w:val="center"/>
        <w:rPr>
          <w:rFonts w:ascii="新宋体" w:hAnsi="新宋体" w:eastAsia="新宋体" w:cs="新宋体"/>
          <w:b/>
          <w:spacing w:val="6"/>
          <w:sz w:val="24"/>
        </w:rPr>
      </w:pPr>
    </w:p>
    <w:tbl>
      <w:tblPr>
        <w:tblStyle w:val="21"/>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544"/>
        <w:gridCol w:w="1524"/>
        <w:gridCol w:w="1528"/>
        <w:gridCol w:w="152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459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地址</w:t>
            </w:r>
          </w:p>
        </w:tc>
        <w:tc>
          <w:tcPr>
            <w:tcW w:w="459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法人代表</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公司负责人</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营业执照</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号码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所有制性质</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资质及等级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注册机关</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注册时间</w:t>
            </w:r>
          </w:p>
        </w:tc>
        <w:tc>
          <w:tcPr>
            <w:tcW w:w="50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人员</w:t>
            </w:r>
          </w:p>
          <w:p>
            <w:pPr>
              <w:jc w:val="center"/>
              <w:rPr>
                <w:rFonts w:hint="eastAsia" w:ascii="仿宋" w:hAnsi="仿宋" w:eastAsia="仿宋" w:cs="仿宋"/>
                <w:sz w:val="24"/>
                <w:szCs w:val="24"/>
              </w:rPr>
            </w:pPr>
            <w:r>
              <w:rPr>
                <w:rFonts w:hint="eastAsia" w:ascii="仿宋" w:hAnsi="仿宋" w:eastAsia="仿宋" w:cs="仿宋"/>
                <w:sz w:val="24"/>
                <w:szCs w:val="24"/>
              </w:rPr>
              <w:t>情况</w:t>
            </w:r>
          </w:p>
        </w:tc>
        <w:tc>
          <w:tcPr>
            <w:tcW w:w="8104" w:type="dxa"/>
            <w:gridSpan w:val="5"/>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业务</w:t>
            </w:r>
          </w:p>
          <w:p>
            <w:pPr>
              <w:jc w:val="center"/>
              <w:rPr>
                <w:rFonts w:hint="eastAsia" w:ascii="仿宋" w:hAnsi="仿宋" w:eastAsia="仿宋" w:cs="仿宋"/>
                <w:sz w:val="24"/>
                <w:szCs w:val="24"/>
              </w:rPr>
            </w:pPr>
            <w:r>
              <w:rPr>
                <w:rFonts w:hint="eastAsia" w:ascii="仿宋" w:hAnsi="仿宋" w:eastAsia="仿宋" w:cs="仿宋"/>
                <w:sz w:val="24"/>
                <w:szCs w:val="24"/>
              </w:rPr>
              <w:t>开展</w:t>
            </w:r>
          </w:p>
          <w:p>
            <w:pPr>
              <w:jc w:val="center"/>
              <w:rPr>
                <w:rFonts w:hint="eastAsia" w:ascii="仿宋" w:hAnsi="仿宋" w:eastAsia="仿宋" w:cs="仿宋"/>
                <w:sz w:val="24"/>
                <w:szCs w:val="24"/>
              </w:rPr>
            </w:pPr>
            <w:r>
              <w:rPr>
                <w:rFonts w:hint="eastAsia" w:ascii="仿宋" w:hAnsi="仿宋" w:eastAsia="仿宋" w:cs="仿宋"/>
                <w:sz w:val="24"/>
                <w:szCs w:val="24"/>
              </w:rPr>
              <w:t>情况</w:t>
            </w:r>
          </w:p>
        </w:tc>
        <w:tc>
          <w:tcPr>
            <w:tcW w:w="8104" w:type="dxa"/>
            <w:gridSpan w:val="5"/>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6"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内部</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机构</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设置</w:t>
            </w:r>
          </w:p>
          <w:p>
            <w:pPr>
              <w:jc w:val="center"/>
              <w:rPr>
                <w:rFonts w:hint="eastAsia" w:ascii="仿宋" w:hAnsi="仿宋" w:eastAsia="仿宋" w:cs="仿宋"/>
                <w:sz w:val="24"/>
                <w:szCs w:val="24"/>
              </w:rPr>
            </w:pPr>
            <w:r>
              <w:rPr>
                <w:rFonts w:hint="eastAsia" w:ascii="仿宋" w:hAnsi="仿宋" w:eastAsia="仿宋" w:cs="仿宋"/>
                <w:sz w:val="24"/>
                <w:szCs w:val="24"/>
                <w:highlight w:val="none"/>
              </w:rPr>
              <w:t>情况</w:t>
            </w:r>
          </w:p>
        </w:tc>
        <w:tc>
          <w:tcPr>
            <w:tcW w:w="8104" w:type="dxa"/>
            <w:gridSpan w:val="5"/>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财务</w:t>
            </w:r>
          </w:p>
          <w:p>
            <w:pPr>
              <w:jc w:val="center"/>
              <w:rPr>
                <w:rFonts w:hint="eastAsia" w:ascii="仿宋" w:hAnsi="仿宋" w:eastAsia="仿宋" w:cs="仿宋"/>
                <w:sz w:val="24"/>
                <w:szCs w:val="24"/>
              </w:rPr>
            </w:pPr>
            <w:r>
              <w:rPr>
                <w:rFonts w:hint="eastAsia" w:ascii="仿宋" w:hAnsi="仿宋" w:eastAsia="仿宋" w:cs="仿宋"/>
                <w:sz w:val="24"/>
                <w:szCs w:val="24"/>
              </w:rPr>
              <w:t>状况</w:t>
            </w:r>
          </w:p>
          <w:p>
            <w:pPr>
              <w:jc w:val="center"/>
              <w:rPr>
                <w:rFonts w:hint="eastAsia" w:ascii="仿宋" w:hAnsi="仿宋" w:eastAsia="仿宋" w:cs="仿宋"/>
                <w:sz w:val="24"/>
                <w:szCs w:val="24"/>
              </w:rPr>
            </w:pPr>
            <w:r>
              <w:rPr>
                <w:rFonts w:hint="eastAsia" w:ascii="仿宋" w:hAnsi="仿宋" w:eastAsia="仿宋" w:cs="仿宋"/>
                <w:sz w:val="24"/>
                <w:szCs w:val="24"/>
              </w:rPr>
              <w:t>说明</w:t>
            </w:r>
          </w:p>
        </w:tc>
        <w:tc>
          <w:tcPr>
            <w:tcW w:w="8104" w:type="dxa"/>
            <w:gridSpan w:val="5"/>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szCs w:val="24"/>
              </w:rPr>
            </w:pPr>
          </w:p>
        </w:tc>
      </w:tr>
    </w:tbl>
    <w:p>
      <w:pPr>
        <w:pStyle w:val="19"/>
        <w:tabs>
          <w:tab w:val="right" w:pos="8278"/>
        </w:tabs>
        <w:spacing w:line="500" w:lineRule="exact"/>
        <w:rPr>
          <w:rFonts w:hint="eastAsia" w:ascii="仿宋" w:hAnsi="仿宋" w:eastAsia="仿宋" w:cs="仿宋"/>
          <w:bCs/>
          <w:sz w:val="24"/>
          <w:szCs w:val="24"/>
        </w:rPr>
      </w:pPr>
      <w:r>
        <w:rPr>
          <w:rFonts w:hint="eastAsia" w:ascii="仿宋" w:hAnsi="仿宋" w:eastAsia="仿宋" w:cs="仿宋"/>
          <w:bCs/>
          <w:sz w:val="24"/>
          <w:szCs w:val="24"/>
        </w:rPr>
        <w:t>供应商（公章）：</w:t>
      </w:r>
    </w:p>
    <w:p>
      <w:pPr>
        <w:pStyle w:val="19"/>
        <w:tabs>
          <w:tab w:val="right" w:pos="8278"/>
        </w:tabs>
        <w:spacing w:line="500" w:lineRule="exact"/>
        <w:rPr>
          <w:rFonts w:hint="eastAsia" w:ascii="仿宋" w:hAnsi="仿宋" w:eastAsia="仿宋" w:cs="仿宋"/>
          <w:bCs/>
          <w:sz w:val="24"/>
          <w:szCs w:val="24"/>
        </w:rPr>
      </w:pPr>
      <w:r>
        <w:rPr>
          <w:rFonts w:hint="eastAsia" w:ascii="仿宋" w:hAnsi="仿宋" w:eastAsia="仿宋" w:cs="仿宋"/>
          <w:sz w:val="24"/>
          <w:szCs w:val="24"/>
        </w:rPr>
        <w:t>法定代表人或其委托人签字：</w:t>
      </w:r>
    </w:p>
    <w:p>
      <w:pPr>
        <w:pStyle w:val="19"/>
        <w:tabs>
          <w:tab w:val="right" w:pos="8278"/>
        </w:tabs>
        <w:spacing w:line="500" w:lineRule="exact"/>
        <w:rPr>
          <w:rFonts w:hint="eastAsia" w:ascii="仿宋" w:hAnsi="仿宋" w:eastAsia="仿宋" w:cs="仿宋"/>
          <w:bCs/>
          <w:sz w:val="24"/>
          <w:szCs w:val="24"/>
        </w:rPr>
      </w:pPr>
      <w:r>
        <w:rPr>
          <w:rFonts w:hint="eastAsia" w:ascii="仿宋" w:hAnsi="仿宋" w:eastAsia="仿宋" w:cs="仿宋"/>
          <w:bCs/>
          <w:sz w:val="24"/>
          <w:szCs w:val="24"/>
        </w:rPr>
        <w:t>日  期：    年    月    日</w:t>
      </w:r>
    </w:p>
    <w:p>
      <w:pPr>
        <w:rPr>
          <w:b/>
          <w:bCs/>
          <w:sz w:val="24"/>
          <w:szCs w:val="24"/>
          <w:lang w:val="en-US" w:eastAsia="zh-CN"/>
        </w:rPr>
      </w:pPr>
      <w:r>
        <w:rPr>
          <w:rFonts w:hint="eastAsia"/>
          <w:b/>
          <w:bCs/>
          <w:sz w:val="24"/>
          <w:szCs w:val="24"/>
          <w:lang w:val="en-US" w:eastAsia="zh-CN"/>
        </w:rPr>
        <w:br w:type="page"/>
      </w:r>
    </w:p>
    <w:p>
      <w:pPr>
        <w:pStyle w:val="11"/>
        <w:kinsoku w:val="0"/>
        <w:overflowPunct w:val="0"/>
        <w:ind w:left="556"/>
        <w:rPr>
          <w:b/>
          <w:bCs/>
          <w:sz w:val="28"/>
          <w:szCs w:val="22"/>
          <w:lang w:val="en-US" w:eastAsia="zh-CN"/>
        </w:rPr>
      </w:pPr>
      <w:r>
        <w:rPr>
          <w:rFonts w:hint="eastAsia"/>
          <w:b/>
          <w:bCs/>
          <w:sz w:val="28"/>
          <w:szCs w:val="22"/>
          <w:lang w:val="en-US" w:eastAsia="zh-CN"/>
        </w:rPr>
        <w:t>附件五：</w:t>
      </w:r>
    </w:p>
    <w:p>
      <w:pPr>
        <w:pStyle w:val="11"/>
        <w:kinsoku w:val="0"/>
        <w:overflowPunct w:val="0"/>
        <w:ind w:left="556"/>
        <w:jc w:val="center"/>
        <w:rPr>
          <w:sz w:val="32"/>
        </w:rPr>
      </w:pPr>
      <w:r>
        <w:rPr>
          <w:rFonts w:hint="eastAsia"/>
          <w:sz w:val="32"/>
        </w:rPr>
        <w:t>财务状况表</w:t>
      </w:r>
    </w:p>
    <w:p>
      <w:pPr>
        <w:pStyle w:val="11"/>
        <w:kinsoku w:val="0"/>
        <w:overflowPunct w:val="0"/>
        <w:rPr>
          <w:sz w:val="19"/>
        </w:rPr>
      </w:pPr>
    </w:p>
    <w:p>
      <w:pPr>
        <w:pStyle w:val="11"/>
        <w:kinsoku w:val="0"/>
        <w:overflowPunct w:val="0"/>
        <w:ind w:left="664" w:right="2475"/>
      </w:pPr>
      <w:r>
        <w:rPr>
          <w:rFonts w:hint="eastAsia"/>
        </w:rPr>
        <w:t>1、投标单位信息表</w:t>
      </w:r>
    </w:p>
    <w:p>
      <w:pPr>
        <w:pStyle w:val="11"/>
        <w:kinsoku w:val="0"/>
        <w:overflowPunct w:val="0"/>
        <w:rPr>
          <w:sz w:val="17"/>
        </w:rPr>
      </w:pPr>
    </w:p>
    <w:tbl>
      <w:tblPr>
        <w:tblStyle w:val="21"/>
        <w:tblW w:w="9287" w:type="dxa"/>
        <w:tblInd w:w="209" w:type="dxa"/>
        <w:tblLayout w:type="fixed"/>
        <w:tblCellMar>
          <w:top w:w="0" w:type="dxa"/>
          <w:left w:w="108" w:type="dxa"/>
          <w:bottom w:w="0" w:type="dxa"/>
          <w:right w:w="108" w:type="dxa"/>
        </w:tblCellMar>
      </w:tblPr>
      <w:tblGrid>
        <w:gridCol w:w="3953"/>
        <w:gridCol w:w="5334"/>
      </w:tblGrid>
      <w:tr>
        <w:tblPrEx>
          <w:tblCellMar>
            <w:top w:w="0" w:type="dxa"/>
            <w:left w:w="108" w:type="dxa"/>
            <w:bottom w:w="0" w:type="dxa"/>
            <w:right w:w="108" w:type="dxa"/>
          </w:tblCellMar>
        </w:tblPrEx>
        <w:trPr>
          <w:trHeight w:val="530" w:hRule="exact"/>
        </w:trPr>
        <w:tc>
          <w:tcPr>
            <w:tcW w:w="395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ind w:left="102"/>
            </w:pPr>
            <w:r>
              <w:rPr>
                <w:rFonts w:hint="eastAsia"/>
              </w:rPr>
              <w:t>公司名称</w:t>
            </w:r>
          </w:p>
        </w:tc>
        <w:tc>
          <w:tcPr>
            <w:tcW w:w="5334"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r>
        <w:tblPrEx>
          <w:tblCellMar>
            <w:top w:w="0" w:type="dxa"/>
            <w:left w:w="108" w:type="dxa"/>
            <w:bottom w:w="0" w:type="dxa"/>
            <w:right w:w="108" w:type="dxa"/>
          </w:tblCellMar>
        </w:tblPrEx>
        <w:trPr>
          <w:trHeight w:val="530" w:hRule="exact"/>
        </w:trPr>
        <w:tc>
          <w:tcPr>
            <w:tcW w:w="395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ind w:left="102"/>
            </w:pPr>
            <w:r>
              <w:rPr>
                <w:rFonts w:hint="eastAsia"/>
              </w:rPr>
              <w:t>公司地址</w:t>
            </w:r>
          </w:p>
        </w:tc>
        <w:tc>
          <w:tcPr>
            <w:tcW w:w="5334"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r>
        <w:tblPrEx>
          <w:tblCellMar>
            <w:top w:w="0" w:type="dxa"/>
            <w:left w:w="108" w:type="dxa"/>
            <w:bottom w:w="0" w:type="dxa"/>
            <w:right w:w="108" w:type="dxa"/>
          </w:tblCellMar>
        </w:tblPrEx>
        <w:trPr>
          <w:trHeight w:val="530" w:hRule="exact"/>
        </w:trPr>
        <w:tc>
          <w:tcPr>
            <w:tcW w:w="395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ind w:left="102"/>
            </w:pPr>
            <w:r>
              <w:rPr>
                <w:rFonts w:hint="eastAsia"/>
              </w:rPr>
              <w:t>开户行名称</w:t>
            </w:r>
          </w:p>
        </w:tc>
        <w:tc>
          <w:tcPr>
            <w:tcW w:w="5334"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r>
        <w:tblPrEx>
          <w:tblCellMar>
            <w:top w:w="0" w:type="dxa"/>
            <w:left w:w="108" w:type="dxa"/>
            <w:bottom w:w="0" w:type="dxa"/>
            <w:right w:w="108" w:type="dxa"/>
          </w:tblCellMar>
        </w:tblPrEx>
        <w:trPr>
          <w:trHeight w:val="530" w:hRule="exact"/>
        </w:trPr>
        <w:tc>
          <w:tcPr>
            <w:tcW w:w="395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ind w:left="102"/>
            </w:pPr>
            <w:r>
              <w:rPr>
                <w:rFonts w:hint="eastAsia"/>
              </w:rPr>
              <w:t>账号</w:t>
            </w:r>
          </w:p>
        </w:tc>
        <w:tc>
          <w:tcPr>
            <w:tcW w:w="5334"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r>
        <w:tblPrEx>
          <w:tblCellMar>
            <w:top w:w="0" w:type="dxa"/>
            <w:left w:w="108" w:type="dxa"/>
            <w:bottom w:w="0" w:type="dxa"/>
            <w:right w:w="108" w:type="dxa"/>
          </w:tblCellMar>
        </w:tblPrEx>
        <w:trPr>
          <w:trHeight w:val="530" w:hRule="exact"/>
        </w:trPr>
        <w:tc>
          <w:tcPr>
            <w:tcW w:w="395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ind w:left="102"/>
            </w:pPr>
            <w:r>
              <w:rPr>
                <w:rFonts w:hint="eastAsia"/>
              </w:rPr>
              <w:t>公司规模</w:t>
            </w:r>
          </w:p>
        </w:tc>
        <w:tc>
          <w:tcPr>
            <w:tcW w:w="5334" w:type="dxa"/>
            <w:tcBorders>
              <w:top w:val="single" w:color="000000" w:sz="4" w:space="0"/>
              <w:left w:val="single" w:color="000000" w:sz="4" w:space="0"/>
              <w:bottom w:val="single" w:color="000000" w:sz="4" w:space="0"/>
              <w:right w:val="single" w:color="000000" w:sz="4" w:space="0"/>
              <w:tl2br w:val="nil"/>
              <w:tr2bl w:val="nil"/>
            </w:tcBorders>
          </w:tcPr>
          <w:p>
            <w:pPr>
              <w:pStyle w:val="29"/>
              <w:tabs>
                <w:tab w:val="left" w:pos="2782"/>
              </w:tabs>
              <w:kinsoku w:val="0"/>
              <w:overflowPunct w:val="0"/>
              <w:ind w:left="1342"/>
            </w:pPr>
            <w:r>
              <w:rPr>
                <w:rFonts w:hint="eastAsia"/>
              </w:rPr>
              <w:t>中小型□</w:t>
            </w:r>
            <w:r>
              <w:rPr>
                <w:rFonts w:hint="eastAsia"/>
              </w:rPr>
              <w:tab/>
            </w:r>
            <w:r>
              <w:rPr>
                <w:rFonts w:hint="eastAsia"/>
              </w:rPr>
              <w:t>大型企业□</w:t>
            </w:r>
          </w:p>
        </w:tc>
      </w:tr>
      <w:tr>
        <w:tblPrEx>
          <w:tblCellMar>
            <w:top w:w="0" w:type="dxa"/>
            <w:left w:w="108" w:type="dxa"/>
            <w:bottom w:w="0" w:type="dxa"/>
            <w:right w:w="108" w:type="dxa"/>
          </w:tblCellMar>
        </w:tblPrEx>
        <w:trPr>
          <w:trHeight w:val="530" w:hRule="exact"/>
        </w:trPr>
        <w:tc>
          <w:tcPr>
            <w:tcW w:w="395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ind w:left="102"/>
            </w:pPr>
            <w:r>
              <w:rPr>
                <w:rFonts w:hint="eastAsia"/>
              </w:rPr>
              <w:t>所属区域(具体到区/县)</w:t>
            </w:r>
          </w:p>
        </w:tc>
        <w:tc>
          <w:tcPr>
            <w:tcW w:w="5334"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r>
        <w:tblPrEx>
          <w:tblCellMar>
            <w:top w:w="0" w:type="dxa"/>
            <w:left w:w="108" w:type="dxa"/>
            <w:bottom w:w="0" w:type="dxa"/>
            <w:right w:w="108" w:type="dxa"/>
          </w:tblCellMar>
        </w:tblPrEx>
        <w:trPr>
          <w:trHeight w:val="530" w:hRule="exact"/>
        </w:trPr>
        <w:tc>
          <w:tcPr>
            <w:tcW w:w="395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ind w:left="102"/>
            </w:pPr>
            <w:r>
              <w:rPr>
                <w:rFonts w:hint="eastAsia"/>
              </w:rPr>
              <w:t>负责人</w:t>
            </w:r>
          </w:p>
        </w:tc>
        <w:tc>
          <w:tcPr>
            <w:tcW w:w="5334"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r>
        <w:tblPrEx>
          <w:tblCellMar>
            <w:top w:w="0" w:type="dxa"/>
            <w:left w:w="108" w:type="dxa"/>
            <w:bottom w:w="0" w:type="dxa"/>
            <w:right w:w="108" w:type="dxa"/>
          </w:tblCellMar>
        </w:tblPrEx>
        <w:trPr>
          <w:trHeight w:val="530" w:hRule="exact"/>
        </w:trPr>
        <w:tc>
          <w:tcPr>
            <w:tcW w:w="395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ind w:left="102"/>
            </w:pPr>
            <w:r>
              <w:rPr>
                <w:rFonts w:hint="eastAsia"/>
              </w:rPr>
              <w:t>联系方式</w:t>
            </w:r>
          </w:p>
        </w:tc>
        <w:tc>
          <w:tcPr>
            <w:tcW w:w="5334"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bl>
    <w:p>
      <w:pPr>
        <w:pStyle w:val="11"/>
        <w:kinsoku w:val="0"/>
        <w:overflowPunct w:val="0"/>
        <w:rPr>
          <w:sz w:val="9"/>
        </w:rPr>
      </w:pPr>
    </w:p>
    <w:p>
      <w:pPr>
        <w:pStyle w:val="11"/>
        <w:kinsoku w:val="0"/>
        <w:overflowPunct w:val="0"/>
        <w:ind w:left="664" w:right="2475"/>
      </w:pPr>
      <w:r>
        <w:rPr>
          <w:rFonts w:hint="eastAsia"/>
        </w:rPr>
        <w:t>2、资产负债情况表</w:t>
      </w:r>
    </w:p>
    <w:p>
      <w:pPr>
        <w:pStyle w:val="11"/>
        <w:kinsoku w:val="0"/>
        <w:overflowPunct w:val="0"/>
        <w:rPr>
          <w:sz w:val="17"/>
        </w:rPr>
      </w:pPr>
    </w:p>
    <w:tbl>
      <w:tblPr>
        <w:tblStyle w:val="21"/>
        <w:tblW w:w="9287" w:type="dxa"/>
        <w:tblInd w:w="209" w:type="dxa"/>
        <w:tblLayout w:type="fixed"/>
        <w:tblCellMar>
          <w:top w:w="0" w:type="dxa"/>
          <w:left w:w="108" w:type="dxa"/>
          <w:bottom w:w="0" w:type="dxa"/>
          <w:right w:w="108" w:type="dxa"/>
        </w:tblCellMar>
      </w:tblPr>
      <w:tblGrid>
        <w:gridCol w:w="1562"/>
        <w:gridCol w:w="3862"/>
        <w:gridCol w:w="3863"/>
      </w:tblGrid>
      <w:tr>
        <w:tblPrEx>
          <w:tblCellMar>
            <w:top w:w="0" w:type="dxa"/>
            <w:left w:w="108" w:type="dxa"/>
            <w:bottom w:w="0" w:type="dxa"/>
            <w:right w:w="108" w:type="dxa"/>
          </w:tblCellMar>
        </w:tblPrEx>
        <w:trPr>
          <w:trHeight w:val="528" w:hRule="exact"/>
        </w:trPr>
        <w:tc>
          <w:tcPr>
            <w:tcW w:w="156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ind w:left="102"/>
            </w:pPr>
            <w:r>
              <w:rPr>
                <w:rFonts w:hint="eastAsia"/>
              </w:rPr>
              <w:t>财务状况</w:t>
            </w:r>
          </w:p>
          <w:p>
            <w:pPr>
              <w:pStyle w:val="29"/>
              <w:kinsoku w:val="0"/>
              <w:overflowPunct w:val="0"/>
              <w:ind w:left="102"/>
            </w:pPr>
            <w:r>
              <w:rPr>
                <w:rFonts w:hint="eastAsia"/>
              </w:rPr>
              <w:t>（人民币）</w:t>
            </w:r>
          </w:p>
        </w:tc>
        <w:tc>
          <w:tcPr>
            <w:tcW w:w="7725" w:type="dxa"/>
            <w:gridSpan w:val="2"/>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line="302" w:lineRule="exact"/>
              <w:ind w:right="1"/>
              <w:jc w:val="center"/>
            </w:pPr>
            <w:r>
              <w:rPr>
                <w:rFonts w:hint="eastAsia"/>
              </w:rPr>
              <w:t>过 去 两 年</w:t>
            </w:r>
          </w:p>
        </w:tc>
      </w:tr>
      <w:tr>
        <w:tblPrEx>
          <w:tblCellMar>
            <w:top w:w="0" w:type="dxa"/>
            <w:left w:w="108" w:type="dxa"/>
            <w:bottom w:w="0" w:type="dxa"/>
            <w:right w:w="108" w:type="dxa"/>
          </w:tblCellMar>
        </w:tblPrEx>
        <w:trPr>
          <w:trHeight w:val="528" w:hRule="exact"/>
        </w:trPr>
        <w:tc>
          <w:tcPr>
            <w:tcW w:w="1562" w:type="dxa"/>
            <w:vMerge w:val="continue"/>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line="302" w:lineRule="exact"/>
              <w:ind w:right="1"/>
              <w:jc w:val="center"/>
            </w:pPr>
          </w:p>
        </w:tc>
        <w:tc>
          <w:tcPr>
            <w:tcW w:w="3862"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386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r>
        <w:tblPrEx>
          <w:tblCellMar>
            <w:top w:w="0" w:type="dxa"/>
            <w:left w:w="108" w:type="dxa"/>
            <w:bottom w:w="0" w:type="dxa"/>
            <w:right w:w="108" w:type="dxa"/>
          </w:tblCellMar>
        </w:tblPrEx>
        <w:trPr>
          <w:trHeight w:val="529" w:hRule="exact"/>
        </w:trPr>
        <w:tc>
          <w:tcPr>
            <w:tcW w:w="156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line="302" w:lineRule="exact"/>
              <w:ind w:left="102"/>
            </w:pPr>
            <w:r>
              <w:rPr>
                <w:rFonts w:hint="eastAsia"/>
              </w:rPr>
              <w:t>1.总资产</w:t>
            </w:r>
          </w:p>
        </w:tc>
        <w:tc>
          <w:tcPr>
            <w:tcW w:w="3862"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386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r>
        <w:tblPrEx>
          <w:tblCellMar>
            <w:top w:w="0" w:type="dxa"/>
            <w:left w:w="108" w:type="dxa"/>
            <w:bottom w:w="0" w:type="dxa"/>
            <w:right w:w="108" w:type="dxa"/>
          </w:tblCellMar>
        </w:tblPrEx>
        <w:trPr>
          <w:trHeight w:val="528" w:hRule="exact"/>
        </w:trPr>
        <w:tc>
          <w:tcPr>
            <w:tcW w:w="156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line="301" w:lineRule="exact"/>
              <w:ind w:left="102"/>
            </w:pPr>
            <w:r>
              <w:rPr>
                <w:rFonts w:hint="eastAsia"/>
              </w:rPr>
              <w:t>2.流动资产</w:t>
            </w:r>
          </w:p>
        </w:tc>
        <w:tc>
          <w:tcPr>
            <w:tcW w:w="3862"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386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r>
        <w:tblPrEx>
          <w:tblCellMar>
            <w:top w:w="0" w:type="dxa"/>
            <w:left w:w="108" w:type="dxa"/>
            <w:bottom w:w="0" w:type="dxa"/>
            <w:right w:w="108" w:type="dxa"/>
          </w:tblCellMar>
        </w:tblPrEx>
        <w:trPr>
          <w:trHeight w:val="528" w:hRule="exact"/>
        </w:trPr>
        <w:tc>
          <w:tcPr>
            <w:tcW w:w="156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line="301" w:lineRule="exact"/>
              <w:ind w:left="102"/>
            </w:pPr>
            <w:r>
              <w:rPr>
                <w:rFonts w:hint="eastAsia"/>
              </w:rPr>
              <w:t>3.总负债</w:t>
            </w:r>
          </w:p>
        </w:tc>
        <w:tc>
          <w:tcPr>
            <w:tcW w:w="3862"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386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r>
        <w:tblPrEx>
          <w:tblCellMar>
            <w:top w:w="0" w:type="dxa"/>
            <w:left w:w="108" w:type="dxa"/>
            <w:bottom w:w="0" w:type="dxa"/>
            <w:right w:w="108" w:type="dxa"/>
          </w:tblCellMar>
        </w:tblPrEx>
        <w:trPr>
          <w:trHeight w:val="529" w:hRule="exact"/>
        </w:trPr>
        <w:tc>
          <w:tcPr>
            <w:tcW w:w="156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line="303" w:lineRule="exact"/>
              <w:ind w:left="102"/>
            </w:pPr>
            <w:r>
              <w:rPr>
                <w:rFonts w:hint="eastAsia"/>
              </w:rPr>
              <w:t>4.流动负债</w:t>
            </w:r>
          </w:p>
        </w:tc>
        <w:tc>
          <w:tcPr>
            <w:tcW w:w="3862"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386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r>
        <w:tblPrEx>
          <w:tblCellMar>
            <w:top w:w="0" w:type="dxa"/>
            <w:left w:w="108" w:type="dxa"/>
            <w:bottom w:w="0" w:type="dxa"/>
            <w:right w:w="108" w:type="dxa"/>
          </w:tblCellMar>
        </w:tblPrEx>
        <w:trPr>
          <w:trHeight w:val="528" w:hRule="exact"/>
        </w:trPr>
        <w:tc>
          <w:tcPr>
            <w:tcW w:w="156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line="302" w:lineRule="exact"/>
              <w:ind w:left="102"/>
            </w:pPr>
            <w:r>
              <w:rPr>
                <w:rFonts w:hint="eastAsia"/>
              </w:rPr>
              <w:t>5.税前利润</w:t>
            </w:r>
          </w:p>
        </w:tc>
        <w:tc>
          <w:tcPr>
            <w:tcW w:w="3862"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386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r>
        <w:tblPrEx>
          <w:tblCellMar>
            <w:top w:w="0" w:type="dxa"/>
            <w:left w:w="108" w:type="dxa"/>
            <w:bottom w:w="0" w:type="dxa"/>
            <w:right w:w="108" w:type="dxa"/>
          </w:tblCellMar>
        </w:tblPrEx>
        <w:trPr>
          <w:trHeight w:val="529" w:hRule="exact"/>
        </w:trPr>
        <w:tc>
          <w:tcPr>
            <w:tcW w:w="156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line="302" w:lineRule="exact"/>
              <w:ind w:left="102"/>
            </w:pPr>
            <w:r>
              <w:rPr>
                <w:rFonts w:hint="eastAsia"/>
              </w:rPr>
              <w:t>6.税后利润</w:t>
            </w:r>
          </w:p>
        </w:tc>
        <w:tc>
          <w:tcPr>
            <w:tcW w:w="3862"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386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r>
    </w:tbl>
    <w:p>
      <w:pPr>
        <w:pStyle w:val="11"/>
        <w:kinsoku w:val="0"/>
        <w:overflowPunct w:val="0"/>
        <w:rPr>
          <w:sz w:val="9"/>
        </w:rPr>
      </w:pPr>
    </w:p>
    <w:p>
      <w:pPr>
        <w:pStyle w:val="11"/>
        <w:numPr>
          <w:ilvl w:val="0"/>
          <w:numId w:val="2"/>
        </w:numPr>
        <w:kinsoku w:val="0"/>
        <w:overflowPunct w:val="0"/>
        <w:spacing w:line="487" w:lineRule="auto"/>
        <w:ind w:left="212" w:right="2475" w:firstLine="120"/>
      </w:pPr>
      <w:r>
        <w:rPr>
          <w:rFonts w:hint="eastAsia"/>
        </w:rPr>
        <w:t xml:space="preserve">应附近两年的财务会计表，包括资产负债表、损益表等。 </w:t>
      </w:r>
    </w:p>
    <w:p>
      <w:pPr>
        <w:pStyle w:val="11"/>
        <w:kinsoku w:val="0"/>
        <w:overflowPunct w:val="0"/>
        <w:spacing w:line="487" w:lineRule="auto"/>
        <w:ind w:right="2475" w:firstLine="240" w:firstLineChars="100"/>
      </w:pPr>
      <w:r>
        <w:rPr>
          <w:rFonts w:hint="eastAsia"/>
          <w:lang w:val="en-US" w:eastAsia="zh-CN"/>
        </w:rPr>
        <w:t>供 应 商</w:t>
      </w:r>
      <w:r>
        <w:rPr>
          <w:rFonts w:hint="eastAsia"/>
        </w:rPr>
        <w:t xml:space="preserve"> 名 称：（加盖公章）</w:t>
      </w:r>
    </w:p>
    <w:p>
      <w:pPr>
        <w:pStyle w:val="11"/>
        <w:tabs>
          <w:tab w:val="left" w:pos="4412"/>
          <w:tab w:val="left" w:pos="5852"/>
        </w:tabs>
        <w:kinsoku w:val="0"/>
        <w:overflowPunct w:val="0"/>
        <w:ind w:left="212" w:right="2475"/>
      </w:pPr>
      <w:r>
        <w:rPr>
          <w:rFonts w:hint="eastAsia"/>
          <w:lang w:val="en-US" w:eastAsia="zh-CN"/>
        </w:rPr>
        <w:t>法定代表人或其委托人签字：</w:t>
      </w:r>
      <w:r>
        <w:rPr>
          <w:rFonts w:ascii="Times New Roman" w:hAnsi="Times New Roman" w:eastAsia="Times New Roman"/>
          <w:spacing w:val="-1"/>
          <w:u w:val="single"/>
        </w:rPr>
        <w:tab/>
      </w:r>
      <w:r>
        <w:rPr>
          <w:rFonts w:hint="eastAsia"/>
        </w:rPr>
        <w:t>日</w:t>
      </w:r>
      <w:r>
        <w:rPr>
          <w:rFonts w:hint="eastAsia"/>
        </w:rPr>
        <w:tab/>
      </w:r>
      <w:r>
        <w:rPr>
          <w:rFonts w:hint="eastAsia"/>
        </w:rPr>
        <w:t>期：</w:t>
      </w:r>
    </w:p>
    <w:p>
      <w:pPr>
        <w:pStyle w:val="11"/>
        <w:tabs>
          <w:tab w:val="left" w:pos="4412"/>
          <w:tab w:val="left" w:pos="5852"/>
        </w:tabs>
        <w:kinsoku w:val="0"/>
        <w:overflowPunct w:val="0"/>
        <w:ind w:left="212" w:right="2475"/>
        <w:sectPr>
          <w:headerReference r:id="rId4" w:type="default"/>
          <w:footerReference r:id="rId5" w:type="default"/>
          <w:pgSz w:w="11910" w:h="16840"/>
          <w:pgMar w:top="1200" w:right="1480" w:bottom="740" w:left="920" w:header="0" w:footer="553" w:gutter="0"/>
          <w:pgNumType w:fmt="decimal"/>
          <w:cols w:space="720" w:num="1"/>
        </w:sectPr>
      </w:pPr>
    </w:p>
    <w:p>
      <w:pPr>
        <w:pStyle w:val="4"/>
        <w:rPr>
          <w:rFonts w:ascii="宋体" w:hAnsi="宋体" w:eastAsia="宋体" w:cs="宋体"/>
          <w:color w:val="000000"/>
          <w:sz w:val="24"/>
          <w:szCs w:val="24"/>
        </w:rPr>
      </w:pPr>
    </w:p>
    <w:p>
      <w:pPr>
        <w:pStyle w:val="4"/>
        <w:jc w:val="left"/>
        <w:rPr>
          <w:rFonts w:ascii="宋体" w:hAnsi="宋体" w:eastAsia="宋体" w:cs="宋体"/>
          <w:b/>
          <w:bCs/>
          <w:color w:val="000000"/>
          <w:sz w:val="28"/>
          <w:szCs w:val="28"/>
        </w:rPr>
      </w:pPr>
      <w:r>
        <w:rPr>
          <w:rFonts w:hint="eastAsia" w:ascii="宋体" w:hAnsi="宋体" w:eastAsia="宋体" w:cs="宋体"/>
          <w:b/>
          <w:bCs/>
          <w:color w:val="000000"/>
          <w:sz w:val="24"/>
          <w:szCs w:val="24"/>
        </w:rPr>
        <w:t>附件</w:t>
      </w:r>
      <w:r>
        <w:rPr>
          <w:rFonts w:hint="eastAsia" w:ascii="宋体" w:hAnsi="宋体" w:eastAsia="宋体" w:cs="宋体"/>
          <w:b/>
          <w:bCs/>
          <w:color w:val="000000"/>
          <w:sz w:val="24"/>
          <w:szCs w:val="24"/>
          <w:lang w:val="en-US" w:eastAsia="zh-CN"/>
        </w:rPr>
        <w:t>六</w:t>
      </w:r>
      <w:r>
        <w:rPr>
          <w:rFonts w:hint="eastAsia" w:ascii="宋体" w:hAnsi="宋体" w:eastAsia="宋体" w:cs="宋体"/>
          <w:b/>
          <w:bCs/>
          <w:color w:val="000000"/>
          <w:sz w:val="24"/>
          <w:szCs w:val="24"/>
        </w:rPr>
        <w:t>：</w:t>
      </w:r>
      <w:bookmarkEnd w:id="22"/>
    </w:p>
    <w:p>
      <w:pPr>
        <w:pStyle w:val="11"/>
      </w:pPr>
    </w:p>
    <w:p>
      <w:pPr>
        <w:pStyle w:val="11"/>
        <w:kinsoku w:val="0"/>
        <w:overflowPunct w:val="0"/>
        <w:jc w:val="center"/>
        <w:rPr>
          <w:rFonts w:hint="eastAsia"/>
          <w:b/>
          <w:bCs/>
          <w:sz w:val="32"/>
        </w:rPr>
      </w:pPr>
      <w:r>
        <w:rPr>
          <w:rFonts w:hint="eastAsia"/>
          <w:b/>
          <w:bCs/>
          <w:sz w:val="32"/>
        </w:rPr>
        <w:t>拟为本项目指定的主管人员和服务人员概况表</w:t>
      </w:r>
    </w:p>
    <w:p>
      <w:pPr>
        <w:pStyle w:val="11"/>
        <w:kinsoku w:val="0"/>
        <w:overflowPunct w:val="0"/>
        <w:jc w:val="center"/>
        <w:rPr>
          <w:sz w:val="36"/>
          <w:szCs w:val="28"/>
        </w:rPr>
      </w:pPr>
      <w:r>
        <w:rPr>
          <w:rFonts w:hint="eastAsia"/>
          <w:b/>
          <w:bCs/>
          <w:sz w:val="28"/>
          <w:szCs w:val="22"/>
          <w:lang w:val="en-US" w:eastAsia="zh-CN"/>
        </w:rPr>
        <w:t>1、</w:t>
      </w:r>
      <w:r>
        <w:rPr>
          <w:rFonts w:hint="eastAsia"/>
          <w:b/>
          <w:bCs/>
          <w:sz w:val="28"/>
          <w:szCs w:val="22"/>
        </w:rPr>
        <w:t>拟参与本项目的服务人员基本情况表</w:t>
      </w:r>
    </w:p>
    <w:tbl>
      <w:tblPr>
        <w:tblStyle w:val="21"/>
        <w:tblW w:w="10337" w:type="dxa"/>
        <w:tblInd w:w="209" w:type="dxa"/>
        <w:tblLayout w:type="fixed"/>
        <w:tblCellMar>
          <w:top w:w="0" w:type="dxa"/>
          <w:left w:w="108" w:type="dxa"/>
          <w:bottom w:w="0" w:type="dxa"/>
          <w:right w:w="108" w:type="dxa"/>
        </w:tblCellMar>
      </w:tblPr>
      <w:tblGrid>
        <w:gridCol w:w="689"/>
        <w:gridCol w:w="1080"/>
        <w:gridCol w:w="1148"/>
        <w:gridCol w:w="913"/>
        <w:gridCol w:w="1229"/>
        <w:gridCol w:w="1485"/>
        <w:gridCol w:w="1781"/>
        <w:gridCol w:w="2012"/>
      </w:tblGrid>
      <w:tr>
        <w:tblPrEx>
          <w:tblCellMar>
            <w:top w:w="0" w:type="dxa"/>
            <w:left w:w="108" w:type="dxa"/>
            <w:bottom w:w="0" w:type="dxa"/>
            <w:right w:w="108" w:type="dxa"/>
          </w:tblCellMar>
        </w:tblPrEx>
        <w:trPr>
          <w:trHeight w:val="1773" w:hRule="exact"/>
        </w:trPr>
        <w:tc>
          <w:tcPr>
            <w:tcW w:w="689" w:type="dxa"/>
            <w:tcBorders>
              <w:top w:val="single" w:color="000000" w:sz="10" w:space="0"/>
              <w:left w:val="single" w:color="000000" w:sz="10" w:space="0"/>
              <w:bottom w:val="single" w:color="000000" w:sz="4" w:space="0"/>
              <w:right w:val="single" w:color="000000" w:sz="4" w:space="0"/>
              <w:tl2br w:val="nil"/>
              <w:tr2bl w:val="nil"/>
            </w:tcBorders>
            <w:shd w:val="clear" w:color="auto" w:fill="DFDFDF"/>
            <w:vAlign w:val="center"/>
          </w:tcPr>
          <w:p>
            <w:pPr>
              <w:pStyle w:val="29"/>
              <w:kinsoku w:val="0"/>
              <w:overflowPunct w:val="0"/>
              <w:ind w:left="114"/>
              <w:jc w:val="center"/>
            </w:pPr>
            <w:r>
              <w:rPr>
                <w:rFonts w:hint="eastAsia"/>
                <w:sz w:val="21"/>
              </w:rPr>
              <w:t>序号</w:t>
            </w:r>
          </w:p>
        </w:tc>
        <w:tc>
          <w:tcPr>
            <w:tcW w:w="1080" w:type="dxa"/>
            <w:tcBorders>
              <w:top w:val="single" w:color="000000" w:sz="10" w:space="0"/>
              <w:left w:val="single" w:color="000000" w:sz="4" w:space="0"/>
              <w:bottom w:val="single" w:color="000000" w:sz="4" w:space="0"/>
              <w:right w:val="single" w:color="000000" w:sz="4" w:space="0"/>
              <w:tl2br w:val="nil"/>
              <w:tr2bl w:val="nil"/>
            </w:tcBorders>
            <w:shd w:val="clear" w:color="auto" w:fill="DFDFDF"/>
            <w:vAlign w:val="center"/>
          </w:tcPr>
          <w:p>
            <w:pPr>
              <w:pStyle w:val="29"/>
              <w:kinsoku w:val="0"/>
              <w:overflowPunct w:val="0"/>
              <w:jc w:val="center"/>
            </w:pPr>
            <w:r>
              <w:rPr>
                <w:rFonts w:hint="eastAsia"/>
                <w:sz w:val="21"/>
              </w:rPr>
              <w:t>姓名</w:t>
            </w:r>
          </w:p>
        </w:tc>
        <w:tc>
          <w:tcPr>
            <w:tcW w:w="1148" w:type="dxa"/>
            <w:tcBorders>
              <w:top w:val="single" w:color="000000" w:sz="10" w:space="0"/>
              <w:left w:val="single" w:color="000000" w:sz="4" w:space="0"/>
              <w:bottom w:val="single" w:color="000000" w:sz="4" w:space="0"/>
              <w:right w:val="single" w:color="000000" w:sz="4" w:space="0"/>
              <w:tl2br w:val="nil"/>
              <w:tr2bl w:val="nil"/>
            </w:tcBorders>
            <w:shd w:val="clear" w:color="auto" w:fill="DFDFDF"/>
            <w:vAlign w:val="center"/>
          </w:tcPr>
          <w:p>
            <w:pPr>
              <w:pStyle w:val="29"/>
              <w:kinsoku w:val="0"/>
              <w:overflowPunct w:val="0"/>
              <w:jc w:val="center"/>
            </w:pPr>
            <w:r>
              <w:rPr>
                <w:rFonts w:hint="eastAsia"/>
                <w:sz w:val="21"/>
              </w:rPr>
              <w:t>性别</w:t>
            </w:r>
          </w:p>
        </w:tc>
        <w:tc>
          <w:tcPr>
            <w:tcW w:w="913" w:type="dxa"/>
            <w:tcBorders>
              <w:top w:val="single" w:color="000000" w:sz="10" w:space="0"/>
              <w:left w:val="single" w:color="000000" w:sz="4" w:space="0"/>
              <w:bottom w:val="single" w:color="000000" w:sz="4" w:space="0"/>
              <w:right w:val="single" w:color="000000" w:sz="4" w:space="0"/>
              <w:tl2br w:val="nil"/>
              <w:tr2bl w:val="nil"/>
            </w:tcBorders>
            <w:shd w:val="clear" w:color="auto" w:fill="DFDFDF"/>
            <w:vAlign w:val="center"/>
          </w:tcPr>
          <w:p>
            <w:pPr>
              <w:pStyle w:val="29"/>
              <w:kinsoku w:val="0"/>
              <w:overflowPunct w:val="0"/>
              <w:jc w:val="center"/>
            </w:pPr>
            <w:r>
              <w:rPr>
                <w:rFonts w:hint="eastAsia"/>
                <w:sz w:val="21"/>
              </w:rPr>
              <w:t>年龄</w:t>
            </w:r>
          </w:p>
        </w:tc>
        <w:tc>
          <w:tcPr>
            <w:tcW w:w="1229" w:type="dxa"/>
            <w:tcBorders>
              <w:top w:val="single" w:color="000000" w:sz="10" w:space="0"/>
              <w:left w:val="single" w:color="000000" w:sz="4" w:space="0"/>
              <w:bottom w:val="single" w:color="000000" w:sz="4" w:space="0"/>
              <w:right w:val="single" w:color="000000" w:sz="4" w:space="0"/>
              <w:tl2br w:val="nil"/>
              <w:tr2bl w:val="nil"/>
            </w:tcBorders>
            <w:shd w:val="clear" w:color="auto" w:fill="DFDFDF"/>
            <w:vAlign w:val="center"/>
          </w:tcPr>
          <w:p>
            <w:pPr>
              <w:keepNext w:val="0"/>
              <w:keepLines w:val="0"/>
              <w:widowControl/>
              <w:suppressLineNumbers w:val="0"/>
              <w:jc w:val="center"/>
              <w:rPr>
                <w:rFonts w:hint="eastAsia" w:ascii="仿宋" w:hAnsi="仿宋" w:eastAsia="仿宋" w:cs="仿宋"/>
                <w:sz w:val="21"/>
                <w:szCs w:val="22"/>
                <w:lang w:val="en-US" w:eastAsia="zh-CN" w:bidi="ja-JP"/>
              </w:rPr>
            </w:pPr>
          </w:p>
          <w:p>
            <w:pPr>
              <w:keepNext w:val="0"/>
              <w:keepLines w:val="0"/>
              <w:widowControl/>
              <w:suppressLineNumbers w:val="0"/>
              <w:jc w:val="center"/>
              <w:rPr>
                <w:rFonts w:hint="eastAsia" w:ascii="仿宋" w:hAnsi="仿宋" w:eastAsia="仿宋" w:cs="仿宋"/>
                <w:sz w:val="21"/>
                <w:szCs w:val="22"/>
                <w:lang w:val="ja-JP" w:eastAsia="ja-JP" w:bidi="ja-JP"/>
              </w:rPr>
            </w:pPr>
            <w:r>
              <w:rPr>
                <w:rFonts w:hint="eastAsia" w:ascii="仿宋" w:hAnsi="仿宋" w:eastAsia="仿宋" w:cs="仿宋"/>
                <w:sz w:val="21"/>
                <w:szCs w:val="22"/>
                <w:lang w:val="en-US" w:eastAsia="zh-CN" w:bidi="ja-JP"/>
              </w:rPr>
              <w:t>现任职务</w:t>
            </w:r>
          </w:p>
          <w:p>
            <w:pPr>
              <w:pStyle w:val="29"/>
              <w:kinsoku w:val="0"/>
              <w:overflowPunct w:val="0"/>
              <w:ind w:left="395"/>
              <w:jc w:val="center"/>
              <w:rPr>
                <w:rFonts w:hint="eastAsia" w:ascii="仿宋" w:hAnsi="仿宋" w:eastAsia="仿宋" w:cs="仿宋"/>
                <w:sz w:val="21"/>
                <w:szCs w:val="22"/>
                <w:lang w:val="ja-JP" w:eastAsia="ja-JP" w:bidi="ja-JP"/>
              </w:rPr>
            </w:pPr>
          </w:p>
        </w:tc>
        <w:tc>
          <w:tcPr>
            <w:tcW w:w="1485" w:type="dxa"/>
            <w:tcBorders>
              <w:top w:val="single" w:color="000000" w:sz="10" w:space="0"/>
              <w:left w:val="single" w:color="000000" w:sz="4" w:space="0"/>
              <w:bottom w:val="single" w:color="000000" w:sz="4" w:space="0"/>
              <w:right w:val="single" w:color="000000" w:sz="4" w:space="0"/>
              <w:tl2br w:val="nil"/>
              <w:tr2bl w:val="nil"/>
            </w:tcBorders>
            <w:shd w:val="clear" w:color="auto" w:fill="DFDFDF"/>
            <w:vAlign w:val="center"/>
          </w:tcPr>
          <w:p>
            <w:pPr>
              <w:pStyle w:val="29"/>
              <w:kinsoku w:val="0"/>
              <w:overflowPunct w:val="0"/>
              <w:jc w:val="center"/>
              <w:rPr>
                <w:rFonts w:hint="eastAsia" w:ascii="仿宋" w:hAnsi="仿宋" w:eastAsia="仿宋" w:cs="仿宋"/>
                <w:sz w:val="21"/>
                <w:szCs w:val="22"/>
                <w:lang w:val="ja-JP" w:eastAsia="ja-JP" w:bidi="ja-JP"/>
              </w:rPr>
            </w:pPr>
            <w:r>
              <w:rPr>
                <w:rFonts w:hint="eastAsia" w:ascii="仿宋" w:hAnsi="仿宋" w:eastAsia="仿宋" w:cs="仿宋"/>
                <w:sz w:val="21"/>
                <w:szCs w:val="22"/>
                <w:lang w:val="ja-JP" w:eastAsia="ja-JP" w:bidi="ja-JP"/>
              </w:rPr>
              <w:t>资格证书</w:t>
            </w:r>
          </w:p>
        </w:tc>
        <w:tc>
          <w:tcPr>
            <w:tcW w:w="1781" w:type="dxa"/>
            <w:tcBorders>
              <w:top w:val="single" w:color="000000" w:sz="10" w:space="0"/>
              <w:left w:val="single" w:color="000000" w:sz="4" w:space="0"/>
              <w:bottom w:val="single" w:color="000000" w:sz="4" w:space="0"/>
              <w:right w:val="single" w:color="000000" w:sz="4" w:space="0"/>
              <w:tl2br w:val="nil"/>
              <w:tr2bl w:val="nil"/>
            </w:tcBorders>
            <w:shd w:val="clear" w:color="auto" w:fill="DFDFDF"/>
            <w:vAlign w:val="center"/>
          </w:tcPr>
          <w:p>
            <w:pPr>
              <w:pStyle w:val="29"/>
              <w:kinsoku w:val="0"/>
              <w:overflowPunct w:val="0"/>
              <w:spacing w:line="355" w:lineRule="auto"/>
              <w:ind w:right="-3"/>
              <w:jc w:val="center"/>
            </w:pPr>
            <w:r>
              <w:rPr>
                <w:rFonts w:hint="eastAsia"/>
                <w:sz w:val="21"/>
              </w:rPr>
              <w:t>在本项目中拟担任的工作</w:t>
            </w:r>
          </w:p>
        </w:tc>
        <w:tc>
          <w:tcPr>
            <w:tcW w:w="2012" w:type="dxa"/>
            <w:tcBorders>
              <w:top w:val="single" w:color="000000" w:sz="10" w:space="0"/>
              <w:left w:val="single" w:color="000000" w:sz="4" w:space="0"/>
              <w:bottom w:val="single" w:color="000000" w:sz="4" w:space="0"/>
              <w:right w:val="single" w:color="000000" w:sz="10" w:space="0"/>
              <w:tl2br w:val="nil"/>
              <w:tr2bl w:val="nil"/>
            </w:tcBorders>
            <w:shd w:val="clear" w:color="auto" w:fill="DFDFDF"/>
            <w:vAlign w:val="center"/>
          </w:tcPr>
          <w:p>
            <w:pPr>
              <w:pStyle w:val="29"/>
              <w:kinsoku w:val="0"/>
              <w:overflowPunct w:val="0"/>
              <w:spacing w:line="357" w:lineRule="auto"/>
              <w:ind w:right="-222" w:rightChars="-101"/>
              <w:jc w:val="center"/>
              <w:rPr>
                <w:rFonts w:hint="eastAsia"/>
                <w:sz w:val="21"/>
              </w:rPr>
            </w:pPr>
            <w:r>
              <w:rPr>
                <w:rFonts w:hint="eastAsia"/>
                <w:sz w:val="21"/>
              </w:rPr>
              <w:t>主要资历、经验</w:t>
            </w:r>
          </w:p>
          <w:p>
            <w:pPr>
              <w:pStyle w:val="29"/>
              <w:kinsoku w:val="0"/>
              <w:overflowPunct w:val="0"/>
              <w:spacing w:line="357" w:lineRule="auto"/>
              <w:ind w:right="-222" w:rightChars="-101"/>
              <w:jc w:val="center"/>
            </w:pPr>
            <w:r>
              <w:rPr>
                <w:rFonts w:hint="eastAsia"/>
                <w:sz w:val="21"/>
              </w:rPr>
              <w:t>及承担过的项</w:t>
            </w:r>
            <w:r>
              <w:rPr>
                <w:rFonts w:hint="eastAsia"/>
                <w:w w:val="99"/>
                <w:sz w:val="21"/>
              </w:rPr>
              <w:t>目</w:t>
            </w:r>
          </w:p>
        </w:tc>
      </w:tr>
      <w:tr>
        <w:tblPrEx>
          <w:tblCellMar>
            <w:top w:w="0" w:type="dxa"/>
            <w:left w:w="108" w:type="dxa"/>
            <w:bottom w:w="0" w:type="dxa"/>
            <w:right w:w="108" w:type="dxa"/>
          </w:tblCellMar>
        </w:tblPrEx>
        <w:trPr>
          <w:trHeight w:val="682" w:hRule="exact"/>
        </w:trPr>
        <w:tc>
          <w:tcPr>
            <w:tcW w:w="689" w:type="dxa"/>
            <w:tcBorders>
              <w:top w:val="single" w:color="000000" w:sz="4" w:space="0"/>
              <w:left w:val="single" w:color="000000" w:sz="10" w:space="0"/>
              <w:bottom w:val="single" w:color="000000" w:sz="4" w:space="0"/>
              <w:right w:val="single" w:color="000000" w:sz="4" w:space="0"/>
              <w:tl2br w:val="nil"/>
              <w:tr2bl w:val="nil"/>
            </w:tcBorders>
          </w:tcPr>
          <w:p>
            <w:pPr>
              <w:rPr>
                <w:sz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148"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91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229"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781"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2012"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CellMar>
            <w:top w:w="0" w:type="dxa"/>
            <w:left w:w="108" w:type="dxa"/>
            <w:bottom w:w="0" w:type="dxa"/>
            <w:right w:w="108" w:type="dxa"/>
          </w:tblCellMar>
        </w:tblPrEx>
        <w:trPr>
          <w:trHeight w:val="682" w:hRule="exact"/>
        </w:trPr>
        <w:tc>
          <w:tcPr>
            <w:tcW w:w="689" w:type="dxa"/>
            <w:tcBorders>
              <w:top w:val="single" w:color="000000" w:sz="4" w:space="0"/>
              <w:left w:val="single" w:color="000000" w:sz="10" w:space="0"/>
              <w:bottom w:val="single" w:color="000000" w:sz="4" w:space="0"/>
              <w:right w:val="single" w:color="000000" w:sz="4" w:space="0"/>
              <w:tl2br w:val="nil"/>
              <w:tr2bl w:val="nil"/>
            </w:tcBorders>
          </w:tcPr>
          <w:p>
            <w:pPr>
              <w:rPr>
                <w:sz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148"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91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229"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781"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2012"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CellMar>
            <w:top w:w="0" w:type="dxa"/>
            <w:left w:w="108" w:type="dxa"/>
            <w:bottom w:w="0" w:type="dxa"/>
            <w:right w:w="108" w:type="dxa"/>
          </w:tblCellMar>
        </w:tblPrEx>
        <w:trPr>
          <w:trHeight w:val="682" w:hRule="exact"/>
        </w:trPr>
        <w:tc>
          <w:tcPr>
            <w:tcW w:w="689" w:type="dxa"/>
            <w:tcBorders>
              <w:top w:val="single" w:color="000000" w:sz="4" w:space="0"/>
              <w:left w:val="single" w:color="000000" w:sz="10" w:space="0"/>
              <w:bottom w:val="single" w:color="000000" w:sz="4" w:space="0"/>
              <w:right w:val="single" w:color="000000" w:sz="4" w:space="0"/>
              <w:tl2br w:val="nil"/>
              <w:tr2bl w:val="nil"/>
            </w:tcBorders>
          </w:tcPr>
          <w:p>
            <w:pPr>
              <w:rPr>
                <w:sz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148"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91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229"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781"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2012"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CellMar>
            <w:top w:w="0" w:type="dxa"/>
            <w:left w:w="108" w:type="dxa"/>
            <w:bottom w:w="0" w:type="dxa"/>
            <w:right w:w="108" w:type="dxa"/>
          </w:tblCellMar>
        </w:tblPrEx>
        <w:trPr>
          <w:trHeight w:val="682" w:hRule="exact"/>
        </w:trPr>
        <w:tc>
          <w:tcPr>
            <w:tcW w:w="689" w:type="dxa"/>
            <w:tcBorders>
              <w:top w:val="single" w:color="000000" w:sz="4" w:space="0"/>
              <w:left w:val="single" w:color="000000" w:sz="10" w:space="0"/>
              <w:bottom w:val="single" w:color="000000" w:sz="4" w:space="0"/>
              <w:right w:val="single" w:color="000000" w:sz="4" w:space="0"/>
              <w:tl2br w:val="nil"/>
              <w:tr2bl w:val="nil"/>
            </w:tcBorders>
          </w:tcPr>
          <w:p>
            <w:pPr>
              <w:rPr>
                <w:sz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148"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91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229"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781"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2012"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CellMar>
            <w:top w:w="0" w:type="dxa"/>
            <w:left w:w="108" w:type="dxa"/>
            <w:bottom w:w="0" w:type="dxa"/>
            <w:right w:w="108" w:type="dxa"/>
          </w:tblCellMar>
        </w:tblPrEx>
        <w:trPr>
          <w:trHeight w:val="682" w:hRule="exact"/>
        </w:trPr>
        <w:tc>
          <w:tcPr>
            <w:tcW w:w="689" w:type="dxa"/>
            <w:tcBorders>
              <w:top w:val="single" w:color="000000" w:sz="4" w:space="0"/>
              <w:left w:val="single" w:color="000000" w:sz="10" w:space="0"/>
              <w:bottom w:val="single" w:color="000000" w:sz="4" w:space="0"/>
              <w:right w:val="single" w:color="000000" w:sz="4" w:space="0"/>
              <w:tl2br w:val="nil"/>
              <w:tr2bl w:val="nil"/>
            </w:tcBorders>
          </w:tcPr>
          <w:p>
            <w:pPr>
              <w:rPr>
                <w:sz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148"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91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229"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781"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2012"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CellMar>
            <w:top w:w="0" w:type="dxa"/>
            <w:left w:w="108" w:type="dxa"/>
            <w:bottom w:w="0" w:type="dxa"/>
            <w:right w:w="108" w:type="dxa"/>
          </w:tblCellMar>
        </w:tblPrEx>
        <w:trPr>
          <w:trHeight w:val="682" w:hRule="exact"/>
        </w:trPr>
        <w:tc>
          <w:tcPr>
            <w:tcW w:w="689" w:type="dxa"/>
            <w:tcBorders>
              <w:top w:val="single" w:color="000000" w:sz="4" w:space="0"/>
              <w:left w:val="single" w:color="000000" w:sz="10" w:space="0"/>
              <w:bottom w:val="single" w:color="000000" w:sz="4" w:space="0"/>
              <w:right w:val="single" w:color="000000" w:sz="4" w:space="0"/>
              <w:tl2br w:val="nil"/>
              <w:tr2bl w:val="nil"/>
            </w:tcBorders>
          </w:tcPr>
          <w:p>
            <w:pPr>
              <w:rPr>
                <w:sz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148"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91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229"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781"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2012"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CellMar>
            <w:top w:w="0" w:type="dxa"/>
            <w:left w:w="108" w:type="dxa"/>
            <w:bottom w:w="0" w:type="dxa"/>
            <w:right w:w="108" w:type="dxa"/>
          </w:tblCellMar>
        </w:tblPrEx>
        <w:trPr>
          <w:trHeight w:val="682" w:hRule="exact"/>
        </w:trPr>
        <w:tc>
          <w:tcPr>
            <w:tcW w:w="689" w:type="dxa"/>
            <w:tcBorders>
              <w:top w:val="single" w:color="000000" w:sz="4" w:space="0"/>
              <w:left w:val="single" w:color="000000" w:sz="10" w:space="0"/>
              <w:bottom w:val="single" w:color="000000" w:sz="4" w:space="0"/>
              <w:right w:val="single" w:color="000000" w:sz="4" w:space="0"/>
              <w:tl2br w:val="nil"/>
              <w:tr2bl w:val="nil"/>
            </w:tcBorders>
          </w:tcPr>
          <w:p>
            <w:pPr>
              <w:rPr>
                <w:sz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148"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91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229"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781"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2012"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CellMar>
            <w:top w:w="0" w:type="dxa"/>
            <w:left w:w="108" w:type="dxa"/>
            <w:bottom w:w="0" w:type="dxa"/>
            <w:right w:w="108" w:type="dxa"/>
          </w:tblCellMar>
        </w:tblPrEx>
        <w:trPr>
          <w:trHeight w:val="682" w:hRule="exact"/>
        </w:trPr>
        <w:tc>
          <w:tcPr>
            <w:tcW w:w="689" w:type="dxa"/>
            <w:tcBorders>
              <w:top w:val="single" w:color="000000" w:sz="4" w:space="0"/>
              <w:left w:val="single" w:color="000000" w:sz="10" w:space="0"/>
              <w:bottom w:val="single" w:color="000000" w:sz="4" w:space="0"/>
              <w:right w:val="single" w:color="000000" w:sz="4" w:space="0"/>
              <w:tl2br w:val="nil"/>
              <w:tr2bl w:val="nil"/>
            </w:tcBorders>
          </w:tcPr>
          <w:p>
            <w:pPr>
              <w:rPr>
                <w:sz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148"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913"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229"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485"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1781" w:type="dxa"/>
            <w:tcBorders>
              <w:top w:val="single" w:color="000000" w:sz="4" w:space="0"/>
              <w:left w:val="single" w:color="000000" w:sz="4" w:space="0"/>
              <w:bottom w:val="single" w:color="000000" w:sz="4" w:space="0"/>
              <w:right w:val="single" w:color="000000" w:sz="4" w:space="0"/>
              <w:tl2br w:val="nil"/>
              <w:tr2bl w:val="nil"/>
            </w:tcBorders>
          </w:tcPr>
          <w:p>
            <w:pPr>
              <w:rPr>
                <w:sz w:val="24"/>
              </w:rPr>
            </w:pPr>
          </w:p>
        </w:tc>
        <w:tc>
          <w:tcPr>
            <w:tcW w:w="2012" w:type="dxa"/>
            <w:tcBorders>
              <w:top w:val="single" w:color="000000" w:sz="4" w:space="0"/>
              <w:left w:val="single" w:color="000000" w:sz="4" w:space="0"/>
              <w:bottom w:val="single" w:color="000000" w:sz="4" w:space="0"/>
              <w:right w:val="single" w:color="000000" w:sz="10" w:space="0"/>
              <w:tl2br w:val="nil"/>
              <w:tr2bl w:val="nil"/>
            </w:tcBorders>
          </w:tcPr>
          <w:p>
            <w:pPr>
              <w:rPr>
                <w:sz w:val="24"/>
              </w:rPr>
            </w:pPr>
          </w:p>
        </w:tc>
      </w:tr>
      <w:tr>
        <w:tblPrEx>
          <w:tblCellMar>
            <w:top w:w="0" w:type="dxa"/>
            <w:left w:w="108" w:type="dxa"/>
            <w:bottom w:w="0" w:type="dxa"/>
            <w:right w:w="108" w:type="dxa"/>
          </w:tblCellMar>
        </w:tblPrEx>
        <w:trPr>
          <w:trHeight w:val="689" w:hRule="exact"/>
        </w:trPr>
        <w:tc>
          <w:tcPr>
            <w:tcW w:w="689" w:type="dxa"/>
            <w:tcBorders>
              <w:top w:val="single" w:color="000000" w:sz="4" w:space="0"/>
              <w:left w:val="single" w:color="000000" w:sz="10" w:space="0"/>
              <w:bottom w:val="single" w:color="000000" w:sz="10" w:space="0"/>
              <w:right w:val="single" w:color="000000" w:sz="4" w:space="0"/>
              <w:tl2br w:val="nil"/>
              <w:tr2bl w:val="nil"/>
            </w:tcBorders>
          </w:tcPr>
          <w:p>
            <w:pPr>
              <w:rPr>
                <w:sz w:val="24"/>
              </w:rPr>
            </w:pPr>
          </w:p>
        </w:tc>
        <w:tc>
          <w:tcPr>
            <w:tcW w:w="1080" w:type="dxa"/>
            <w:tcBorders>
              <w:top w:val="single" w:color="000000" w:sz="4" w:space="0"/>
              <w:left w:val="single" w:color="000000" w:sz="4" w:space="0"/>
              <w:bottom w:val="single" w:color="000000" w:sz="10" w:space="0"/>
              <w:right w:val="single" w:color="000000" w:sz="4" w:space="0"/>
              <w:tl2br w:val="nil"/>
              <w:tr2bl w:val="nil"/>
            </w:tcBorders>
          </w:tcPr>
          <w:p>
            <w:pPr>
              <w:rPr>
                <w:sz w:val="24"/>
              </w:rPr>
            </w:pPr>
          </w:p>
        </w:tc>
        <w:tc>
          <w:tcPr>
            <w:tcW w:w="1148" w:type="dxa"/>
            <w:tcBorders>
              <w:top w:val="single" w:color="000000" w:sz="4" w:space="0"/>
              <w:left w:val="single" w:color="000000" w:sz="4" w:space="0"/>
              <w:bottom w:val="single" w:color="000000" w:sz="10" w:space="0"/>
              <w:right w:val="single" w:color="000000" w:sz="4" w:space="0"/>
              <w:tl2br w:val="nil"/>
              <w:tr2bl w:val="nil"/>
            </w:tcBorders>
          </w:tcPr>
          <w:p>
            <w:pPr>
              <w:rPr>
                <w:sz w:val="24"/>
              </w:rPr>
            </w:pPr>
          </w:p>
        </w:tc>
        <w:tc>
          <w:tcPr>
            <w:tcW w:w="913" w:type="dxa"/>
            <w:tcBorders>
              <w:top w:val="single" w:color="000000" w:sz="4" w:space="0"/>
              <w:left w:val="single" w:color="000000" w:sz="4" w:space="0"/>
              <w:bottom w:val="single" w:color="000000" w:sz="10" w:space="0"/>
              <w:right w:val="single" w:color="000000" w:sz="4" w:space="0"/>
              <w:tl2br w:val="nil"/>
              <w:tr2bl w:val="nil"/>
            </w:tcBorders>
          </w:tcPr>
          <w:p>
            <w:pPr>
              <w:rPr>
                <w:sz w:val="24"/>
              </w:rPr>
            </w:pPr>
          </w:p>
        </w:tc>
        <w:tc>
          <w:tcPr>
            <w:tcW w:w="1229" w:type="dxa"/>
            <w:tcBorders>
              <w:top w:val="single" w:color="000000" w:sz="4" w:space="0"/>
              <w:left w:val="single" w:color="000000" w:sz="4" w:space="0"/>
              <w:bottom w:val="single" w:color="000000" w:sz="10" w:space="0"/>
              <w:right w:val="single" w:color="000000" w:sz="4" w:space="0"/>
              <w:tl2br w:val="nil"/>
              <w:tr2bl w:val="nil"/>
            </w:tcBorders>
          </w:tcPr>
          <w:p>
            <w:pPr>
              <w:rPr>
                <w:sz w:val="24"/>
              </w:rPr>
            </w:pPr>
          </w:p>
        </w:tc>
        <w:tc>
          <w:tcPr>
            <w:tcW w:w="1485" w:type="dxa"/>
            <w:tcBorders>
              <w:top w:val="single" w:color="000000" w:sz="4" w:space="0"/>
              <w:left w:val="single" w:color="000000" w:sz="4" w:space="0"/>
              <w:bottom w:val="single" w:color="000000" w:sz="10" w:space="0"/>
              <w:right w:val="single" w:color="000000" w:sz="4" w:space="0"/>
              <w:tl2br w:val="nil"/>
              <w:tr2bl w:val="nil"/>
            </w:tcBorders>
          </w:tcPr>
          <w:p>
            <w:pPr>
              <w:rPr>
                <w:sz w:val="24"/>
              </w:rPr>
            </w:pPr>
          </w:p>
        </w:tc>
        <w:tc>
          <w:tcPr>
            <w:tcW w:w="1781" w:type="dxa"/>
            <w:tcBorders>
              <w:top w:val="single" w:color="000000" w:sz="4" w:space="0"/>
              <w:left w:val="single" w:color="000000" w:sz="4" w:space="0"/>
              <w:bottom w:val="single" w:color="000000" w:sz="10" w:space="0"/>
              <w:right w:val="single" w:color="000000" w:sz="4" w:space="0"/>
              <w:tl2br w:val="nil"/>
              <w:tr2bl w:val="nil"/>
            </w:tcBorders>
          </w:tcPr>
          <w:p>
            <w:pPr>
              <w:rPr>
                <w:sz w:val="24"/>
              </w:rPr>
            </w:pPr>
          </w:p>
        </w:tc>
        <w:tc>
          <w:tcPr>
            <w:tcW w:w="2012" w:type="dxa"/>
            <w:tcBorders>
              <w:top w:val="single" w:color="000000" w:sz="4" w:space="0"/>
              <w:left w:val="single" w:color="000000" w:sz="4" w:space="0"/>
              <w:bottom w:val="single" w:color="000000" w:sz="10" w:space="0"/>
              <w:right w:val="single" w:color="000000" w:sz="10" w:space="0"/>
              <w:tl2br w:val="nil"/>
              <w:tr2bl w:val="nil"/>
            </w:tcBorders>
          </w:tcPr>
          <w:p>
            <w:pPr>
              <w:rPr>
                <w:sz w:val="24"/>
              </w:rPr>
            </w:pPr>
          </w:p>
        </w:tc>
      </w:tr>
    </w:tbl>
    <w:p>
      <w:pPr>
        <w:pStyle w:val="11"/>
        <w:kinsoku w:val="0"/>
        <w:overflowPunct w:val="0"/>
        <w:rPr>
          <w:sz w:val="20"/>
        </w:rPr>
      </w:pPr>
    </w:p>
    <w:p>
      <w:pPr>
        <w:pStyle w:val="11"/>
        <w:kinsoku w:val="0"/>
        <w:overflowPunct w:val="0"/>
        <w:ind w:left="212"/>
        <w:rPr>
          <w:sz w:val="21"/>
        </w:rPr>
      </w:pPr>
      <w:r>
        <w:rPr>
          <w:rFonts w:hint="eastAsia"/>
          <w:sz w:val="21"/>
        </w:rPr>
        <w:t>供应商名称（加盖公章）：</w:t>
      </w:r>
    </w:p>
    <w:p>
      <w:pPr>
        <w:pStyle w:val="11"/>
        <w:kinsoku w:val="0"/>
        <w:overflowPunct w:val="0"/>
        <w:rPr>
          <w:sz w:val="20"/>
        </w:rPr>
      </w:pPr>
    </w:p>
    <w:p>
      <w:pPr>
        <w:pStyle w:val="11"/>
        <w:tabs>
          <w:tab w:val="left" w:pos="5094"/>
        </w:tabs>
        <w:kinsoku w:val="0"/>
        <w:overflowPunct w:val="0"/>
        <w:ind w:left="212"/>
        <w:rPr>
          <w:rFonts w:ascii="Times New Roman" w:hAnsi="Times New Roman" w:eastAsia="Times New Roman"/>
          <w:sz w:val="21"/>
        </w:rPr>
      </w:pPr>
      <w:r>
        <w:rPr>
          <w:rFonts w:hint="eastAsia"/>
          <w:sz w:val="21"/>
        </w:rPr>
        <w:t>法定代表人或其委托人签字：</w:t>
      </w:r>
      <w:r>
        <w:rPr>
          <w:rFonts w:ascii="Times New Roman" w:hAnsi="Times New Roman" w:eastAsia="Times New Roman"/>
          <w:sz w:val="21"/>
          <w:u w:val="single"/>
        </w:rPr>
        <w:tab/>
      </w:r>
    </w:p>
    <w:p>
      <w:pPr>
        <w:pStyle w:val="11"/>
        <w:kinsoku w:val="0"/>
        <w:overflowPunct w:val="0"/>
        <w:rPr>
          <w:rFonts w:ascii="Times New Roman" w:hAnsi="Times New Roman" w:eastAsia="Times New Roman"/>
          <w:sz w:val="16"/>
        </w:rPr>
      </w:pPr>
    </w:p>
    <w:p>
      <w:pPr>
        <w:widowControl/>
        <w:ind w:firstLine="199" w:firstLineChars="100"/>
      </w:pPr>
      <w:r>
        <w:rPr>
          <w:rFonts w:hint="eastAsia"/>
          <w:w w:val="95"/>
          <w:sz w:val="21"/>
        </w:rPr>
        <w:t>日</w:t>
      </w:r>
      <w:r>
        <w:rPr>
          <w:rFonts w:hint="eastAsia"/>
          <w:w w:val="95"/>
          <w:sz w:val="21"/>
        </w:rPr>
        <w:tab/>
      </w:r>
      <w:r>
        <w:rPr>
          <w:rFonts w:hint="eastAsia"/>
          <w:sz w:val="21"/>
        </w:rPr>
        <w:t>期：</w:t>
      </w:r>
    </w:p>
    <w:p>
      <w:pPr>
        <w:rPr>
          <w:rFonts w:hint="eastAsia" w:ascii="宋体" w:hAnsi="宋体" w:cs="宋体"/>
          <w:b/>
          <w:bCs/>
          <w:color w:val="000000"/>
          <w:sz w:val="28"/>
          <w:szCs w:val="28"/>
        </w:rPr>
      </w:pPr>
      <w:r>
        <w:rPr>
          <w:rFonts w:hint="eastAsia" w:ascii="宋体" w:hAnsi="宋体" w:cs="宋体"/>
          <w:b/>
          <w:bCs/>
          <w:color w:val="000000"/>
          <w:sz w:val="28"/>
          <w:szCs w:val="28"/>
        </w:rPr>
        <w:br w:type="page"/>
      </w:r>
    </w:p>
    <w:p>
      <w:pPr>
        <w:keepNext w:val="0"/>
        <w:keepLines w:val="0"/>
        <w:widowControl/>
        <w:numPr>
          <w:ilvl w:val="0"/>
          <w:numId w:val="0"/>
        </w:numPr>
        <w:suppressLineNumbers w:val="0"/>
        <w:ind w:left="332" w:leftChars="0"/>
        <w:jc w:val="center"/>
        <w:rPr>
          <w:rFonts w:ascii="仿宋" w:hAnsi="仿宋" w:eastAsia="仿宋" w:cs="仿宋"/>
          <w:b/>
          <w:color w:val="000000"/>
          <w:kern w:val="0"/>
          <w:sz w:val="30"/>
          <w:szCs w:val="30"/>
          <w:lang w:val="en-US" w:eastAsia="zh-CN" w:bidi="ar"/>
        </w:rPr>
      </w:pPr>
      <w:r>
        <w:rPr>
          <w:rFonts w:hint="eastAsia" w:cs="仿宋"/>
          <w:b/>
          <w:color w:val="000000"/>
          <w:kern w:val="0"/>
          <w:sz w:val="30"/>
          <w:szCs w:val="30"/>
          <w:lang w:val="en-US" w:eastAsia="zh-CN" w:bidi="ar"/>
        </w:rPr>
        <w:t>2、主管人员</w:t>
      </w:r>
      <w:r>
        <w:rPr>
          <w:rFonts w:ascii="仿宋" w:hAnsi="仿宋" w:eastAsia="仿宋" w:cs="仿宋"/>
          <w:b/>
          <w:color w:val="000000"/>
          <w:kern w:val="0"/>
          <w:sz w:val="30"/>
          <w:szCs w:val="30"/>
          <w:lang w:val="en-US" w:eastAsia="zh-CN" w:bidi="ar"/>
        </w:rPr>
        <w:t>简历表</w:t>
      </w:r>
    </w:p>
    <w:p>
      <w:pPr>
        <w:keepNext w:val="0"/>
        <w:keepLines w:val="0"/>
        <w:widowControl/>
        <w:numPr>
          <w:ilvl w:val="0"/>
          <w:numId w:val="0"/>
        </w:numPr>
        <w:suppressLineNumbers w:val="0"/>
        <w:ind w:left="332" w:leftChars="0"/>
        <w:jc w:val="both"/>
        <w:rPr>
          <w:rFonts w:ascii="仿宋" w:hAnsi="仿宋" w:eastAsia="仿宋" w:cs="仿宋"/>
          <w:b/>
          <w:color w:val="000000"/>
          <w:kern w:val="0"/>
          <w:sz w:val="30"/>
          <w:szCs w:val="30"/>
          <w:lang w:val="en-US" w:eastAsia="zh-CN" w:bidi="ar"/>
        </w:rPr>
      </w:pPr>
    </w:p>
    <w:tbl>
      <w:tblPr>
        <w:tblStyle w:val="22"/>
        <w:tblW w:w="10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735"/>
        <w:gridCol w:w="1736"/>
        <w:gridCol w:w="1736"/>
        <w:gridCol w:w="1736"/>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姓名</w:t>
            </w:r>
          </w:p>
          <w:p>
            <w:pPr>
              <w:keepNext w:val="0"/>
              <w:keepLines w:val="0"/>
              <w:widowControl/>
              <w:suppressLineNumbers w:val="0"/>
              <w:jc w:val="both"/>
              <w:rPr>
                <w:rFonts w:hint="default" w:ascii="仿宋" w:hAnsi="仿宋" w:eastAsia="仿宋" w:cs="仿宋"/>
                <w:color w:val="000000"/>
                <w:kern w:val="0"/>
                <w:sz w:val="24"/>
                <w:szCs w:val="24"/>
                <w:lang w:val="en-US" w:eastAsia="zh-CN" w:bidi="ar"/>
              </w:rPr>
            </w:pPr>
          </w:p>
        </w:tc>
        <w:tc>
          <w:tcPr>
            <w:tcW w:w="1735" w:type="dxa"/>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736" w:type="dxa"/>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性别</w:t>
            </w:r>
          </w:p>
        </w:tc>
        <w:tc>
          <w:tcPr>
            <w:tcW w:w="1736" w:type="dxa"/>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736" w:type="dxa"/>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年龄</w:t>
            </w:r>
          </w:p>
        </w:tc>
        <w:tc>
          <w:tcPr>
            <w:tcW w:w="1740" w:type="dxa"/>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学历</w:t>
            </w:r>
          </w:p>
          <w:p>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735" w:type="dxa"/>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736" w:type="dxa"/>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职称</w:t>
            </w:r>
          </w:p>
        </w:tc>
        <w:tc>
          <w:tcPr>
            <w:tcW w:w="1736" w:type="dxa"/>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736" w:type="dxa"/>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职务</w:t>
            </w:r>
          </w:p>
        </w:tc>
        <w:tc>
          <w:tcPr>
            <w:tcW w:w="1740" w:type="dxa"/>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联系电话</w:t>
            </w:r>
          </w:p>
          <w:p>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3471" w:type="dxa"/>
            <w:gridSpan w:val="2"/>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736" w:type="dxa"/>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手机</w:t>
            </w:r>
          </w:p>
        </w:tc>
        <w:tc>
          <w:tcPr>
            <w:tcW w:w="3476" w:type="dxa"/>
            <w:gridSpan w:val="2"/>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0418" w:type="dxa"/>
            <w:gridSpan w:val="6"/>
          </w:tcPr>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p>
            <w:pPr>
              <w:keepNext w:val="0"/>
              <w:keepLines w:val="0"/>
              <w:widowControl/>
              <w:suppressLineNumbers w:val="0"/>
              <w:jc w:val="left"/>
              <w:rPr>
                <w:rFonts w:hint="default" w:eastAsiaTheme="minorEastAsia"/>
                <w:sz w:val="24"/>
                <w:szCs w:val="24"/>
                <w:vertAlign w:val="baseline"/>
                <w:lang w:val="en-US" w:eastAsia="zh-CN"/>
              </w:rPr>
            </w:pPr>
            <w:r>
              <w:rPr>
                <w:rFonts w:ascii="仿宋" w:hAnsi="仿宋" w:eastAsia="仿宋" w:cs="仿宋"/>
                <w:color w:val="000000"/>
                <w:kern w:val="0"/>
                <w:sz w:val="24"/>
                <w:szCs w:val="24"/>
                <w:lang w:val="en-US" w:eastAsia="zh-CN" w:bidi="ar"/>
              </w:rPr>
              <w:t xml:space="preserve">近五年从事相关工作经历及业绩： </w:t>
            </w:r>
          </w:p>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p>
            <w:pPr>
              <w:jc w:val="both"/>
              <w:rPr>
                <w:rFonts w:hint="default" w:eastAsiaTheme="minorEastAsia"/>
                <w:vertAlign w:val="baseline"/>
                <w:lang w:val="en-US" w:eastAsia="zh-CN"/>
              </w:rPr>
            </w:pPr>
          </w:p>
        </w:tc>
      </w:tr>
    </w:tbl>
    <w:p>
      <w:pPr>
        <w:pStyle w:val="11"/>
        <w:kinsoku w:val="0"/>
        <w:overflowPunct w:val="0"/>
        <w:ind w:left="212"/>
        <w:rPr>
          <w:rFonts w:hint="eastAsia"/>
          <w:sz w:val="21"/>
        </w:rPr>
      </w:pPr>
    </w:p>
    <w:p>
      <w:pPr>
        <w:pStyle w:val="11"/>
        <w:kinsoku w:val="0"/>
        <w:overflowPunct w:val="0"/>
        <w:ind w:left="212"/>
        <w:rPr>
          <w:rFonts w:hint="eastAsia"/>
          <w:sz w:val="21"/>
        </w:rPr>
      </w:pPr>
    </w:p>
    <w:p>
      <w:pPr>
        <w:pStyle w:val="11"/>
        <w:kinsoku w:val="0"/>
        <w:overflowPunct w:val="0"/>
        <w:ind w:left="212"/>
        <w:rPr>
          <w:sz w:val="21"/>
        </w:rPr>
      </w:pPr>
      <w:r>
        <w:rPr>
          <w:rFonts w:hint="eastAsia"/>
          <w:sz w:val="21"/>
        </w:rPr>
        <w:t>供应商名称（加盖公章）：</w:t>
      </w:r>
    </w:p>
    <w:p>
      <w:pPr>
        <w:pStyle w:val="11"/>
        <w:kinsoku w:val="0"/>
        <w:overflowPunct w:val="0"/>
        <w:rPr>
          <w:sz w:val="20"/>
        </w:rPr>
      </w:pPr>
    </w:p>
    <w:p>
      <w:pPr>
        <w:pStyle w:val="11"/>
        <w:tabs>
          <w:tab w:val="left" w:pos="5094"/>
        </w:tabs>
        <w:kinsoku w:val="0"/>
        <w:overflowPunct w:val="0"/>
        <w:ind w:left="212"/>
        <w:rPr>
          <w:rFonts w:ascii="Times New Roman" w:hAnsi="Times New Roman" w:eastAsia="Times New Roman"/>
          <w:sz w:val="21"/>
        </w:rPr>
      </w:pPr>
      <w:r>
        <w:rPr>
          <w:rFonts w:hint="eastAsia"/>
          <w:sz w:val="21"/>
        </w:rPr>
        <w:t>法定代表人或其委托人签字：</w:t>
      </w:r>
      <w:r>
        <w:rPr>
          <w:rFonts w:ascii="Times New Roman" w:hAnsi="Times New Roman" w:eastAsia="Times New Roman"/>
          <w:sz w:val="21"/>
          <w:u w:val="single"/>
        </w:rPr>
        <w:tab/>
      </w:r>
    </w:p>
    <w:p>
      <w:pPr>
        <w:pStyle w:val="11"/>
        <w:kinsoku w:val="0"/>
        <w:overflowPunct w:val="0"/>
        <w:rPr>
          <w:rFonts w:ascii="Times New Roman" w:hAnsi="Times New Roman" w:eastAsia="Times New Roman"/>
          <w:sz w:val="16"/>
        </w:rPr>
      </w:pPr>
    </w:p>
    <w:p>
      <w:pPr>
        <w:widowControl/>
        <w:ind w:firstLine="199" w:firstLineChars="100"/>
      </w:pPr>
      <w:r>
        <w:rPr>
          <w:rFonts w:hint="eastAsia"/>
          <w:w w:val="95"/>
          <w:sz w:val="21"/>
        </w:rPr>
        <w:t>日</w:t>
      </w:r>
      <w:r>
        <w:rPr>
          <w:rFonts w:hint="eastAsia"/>
          <w:w w:val="95"/>
          <w:sz w:val="21"/>
        </w:rPr>
        <w:tab/>
      </w:r>
      <w:r>
        <w:rPr>
          <w:rFonts w:hint="eastAsia"/>
          <w:sz w:val="21"/>
        </w:rPr>
        <w:t>期：</w:t>
      </w:r>
    </w:p>
    <w:p>
      <w:pPr>
        <w:keepNext w:val="0"/>
        <w:keepLines w:val="0"/>
        <w:widowControl/>
        <w:suppressLineNumbers w:val="0"/>
        <w:jc w:val="center"/>
        <w:rPr>
          <w:rFonts w:ascii="黑体" w:hAnsi="宋体" w:eastAsia="黑体" w:cs="黑体"/>
          <w:color w:val="000000"/>
          <w:kern w:val="0"/>
          <w:sz w:val="31"/>
          <w:szCs w:val="31"/>
          <w:lang w:val="en-US" w:eastAsia="zh-CN" w:bidi="ar"/>
        </w:rPr>
      </w:pPr>
      <w:r>
        <w:rPr>
          <w:rFonts w:hint="eastAsia" w:ascii="宋体" w:hAnsi="宋体" w:cs="宋体"/>
          <w:b/>
          <w:bCs/>
          <w:color w:val="000000"/>
          <w:sz w:val="28"/>
          <w:szCs w:val="28"/>
        </w:rPr>
        <w:br w:type="page"/>
      </w:r>
    </w:p>
    <w:p>
      <w:pPr>
        <w:keepNext w:val="0"/>
        <w:keepLines w:val="0"/>
        <w:widowControl/>
        <w:suppressLineNumbers w:val="0"/>
        <w:jc w:val="center"/>
        <w:rPr>
          <w:rFonts w:ascii="黑体" w:hAnsi="宋体" w:eastAsia="黑体" w:cs="黑体"/>
          <w:color w:val="000000"/>
          <w:kern w:val="0"/>
          <w:sz w:val="31"/>
          <w:szCs w:val="31"/>
          <w:lang w:val="en-US" w:eastAsia="zh-CN" w:bidi="ar"/>
        </w:rPr>
      </w:pPr>
    </w:p>
    <w:p>
      <w:pPr>
        <w:keepNext w:val="0"/>
        <w:keepLines w:val="0"/>
        <w:widowControl/>
        <w:numPr>
          <w:ilvl w:val="0"/>
          <w:numId w:val="0"/>
        </w:numPr>
        <w:suppressLineNumbers w:val="0"/>
        <w:jc w:val="center"/>
        <w:rPr>
          <w:rFonts w:hint="eastAsia" w:cs="仿宋"/>
          <w:b/>
          <w:color w:val="000000"/>
          <w:kern w:val="0"/>
          <w:sz w:val="30"/>
          <w:szCs w:val="30"/>
          <w:lang w:val="en-US" w:eastAsia="zh-CN" w:bidi="ar"/>
        </w:rPr>
      </w:pPr>
      <w:r>
        <w:rPr>
          <w:rFonts w:hint="eastAsia" w:cs="仿宋"/>
          <w:b/>
          <w:color w:val="000000"/>
          <w:kern w:val="0"/>
          <w:sz w:val="30"/>
          <w:szCs w:val="30"/>
          <w:lang w:val="en-US" w:eastAsia="zh-CN" w:bidi="ar"/>
        </w:rPr>
        <w:t>3、</w:t>
      </w:r>
      <w:r>
        <w:rPr>
          <w:rFonts w:ascii="仿宋" w:hAnsi="仿宋" w:eastAsia="仿宋" w:cs="仿宋"/>
          <w:b/>
          <w:color w:val="000000"/>
          <w:kern w:val="0"/>
          <w:sz w:val="30"/>
          <w:szCs w:val="30"/>
          <w:lang w:val="en-US" w:eastAsia="zh-CN" w:bidi="ar"/>
        </w:rPr>
        <w:t>进场设备、工具、器械明细表</w:t>
      </w:r>
      <w:r>
        <w:rPr>
          <w:rFonts w:hint="eastAsia" w:cs="仿宋"/>
          <w:b/>
          <w:color w:val="000000"/>
          <w:kern w:val="0"/>
          <w:sz w:val="30"/>
          <w:szCs w:val="30"/>
          <w:lang w:val="en-US" w:eastAsia="zh-CN" w:bidi="ar"/>
        </w:rPr>
        <w:t>（如有）</w:t>
      </w:r>
    </w:p>
    <w:tbl>
      <w:tblPr>
        <w:tblStyle w:val="22"/>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49"/>
        <w:gridCol w:w="1633"/>
        <w:gridCol w:w="1320"/>
        <w:gridCol w:w="1560"/>
        <w:gridCol w:w="1266"/>
        <w:gridCol w:w="117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7"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rPr>
                <w:vertAlign w:val="baseline"/>
              </w:rPr>
            </w:pPr>
            <w:r>
              <w:rPr>
                <w:rFonts w:ascii="仿宋" w:hAnsi="仿宋" w:eastAsia="仿宋" w:cs="仿宋"/>
                <w:color w:val="000000"/>
                <w:kern w:val="0"/>
                <w:sz w:val="24"/>
                <w:szCs w:val="24"/>
                <w:lang w:val="en-US" w:eastAsia="zh-CN" w:bidi="ar"/>
              </w:rPr>
              <w:t>序号</w:t>
            </w:r>
          </w:p>
        </w:tc>
        <w:tc>
          <w:tcPr>
            <w:tcW w:w="1449"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rPr>
                <w:vertAlign w:val="baseline"/>
              </w:rPr>
            </w:pPr>
            <w:r>
              <w:rPr>
                <w:rFonts w:ascii="仿宋" w:hAnsi="仿宋" w:eastAsia="仿宋" w:cs="仿宋"/>
                <w:color w:val="000000"/>
                <w:kern w:val="0"/>
                <w:sz w:val="24"/>
                <w:szCs w:val="24"/>
                <w:lang w:val="en-US" w:eastAsia="zh-CN" w:bidi="ar"/>
              </w:rPr>
              <w:t>设备名</w:t>
            </w:r>
            <w:r>
              <w:rPr>
                <w:rFonts w:hint="eastAsia" w:ascii="仿宋" w:hAnsi="仿宋" w:eastAsia="仿宋" w:cs="仿宋"/>
                <w:color w:val="000000"/>
                <w:kern w:val="0"/>
                <w:sz w:val="24"/>
                <w:szCs w:val="24"/>
                <w:lang w:val="en-US" w:eastAsia="zh-CN" w:bidi="ar"/>
              </w:rPr>
              <w:t>称</w:t>
            </w:r>
          </w:p>
        </w:tc>
        <w:tc>
          <w:tcPr>
            <w:tcW w:w="1633"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pPr>
            <w:r>
              <w:rPr>
                <w:rFonts w:ascii="仿宋" w:hAnsi="仿宋" w:eastAsia="仿宋" w:cs="仿宋"/>
                <w:color w:val="000000"/>
                <w:kern w:val="0"/>
                <w:sz w:val="24"/>
                <w:szCs w:val="24"/>
                <w:lang w:val="en-US" w:eastAsia="zh-CN" w:bidi="ar"/>
              </w:rPr>
              <w:t>规格型</w:t>
            </w:r>
            <w:r>
              <w:rPr>
                <w:rFonts w:hint="eastAsia" w:ascii="仿宋" w:hAnsi="仿宋" w:eastAsia="仿宋" w:cs="仿宋"/>
                <w:color w:val="000000"/>
                <w:kern w:val="0"/>
                <w:sz w:val="24"/>
                <w:szCs w:val="24"/>
                <w:lang w:val="en-US" w:eastAsia="zh-CN" w:bidi="ar"/>
              </w:rPr>
              <w:t>号</w:t>
            </w:r>
          </w:p>
          <w:p>
            <w:pPr>
              <w:jc w:val="center"/>
              <w:rPr>
                <w:vertAlign w:val="baseline"/>
              </w:rPr>
            </w:pPr>
          </w:p>
        </w:tc>
        <w:tc>
          <w:tcPr>
            <w:tcW w:w="1320"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pPr>
            <w:r>
              <w:rPr>
                <w:rFonts w:ascii="仿宋" w:hAnsi="仿宋" w:eastAsia="仿宋" w:cs="仿宋"/>
                <w:color w:val="000000"/>
                <w:kern w:val="0"/>
                <w:sz w:val="24"/>
                <w:szCs w:val="24"/>
                <w:lang w:val="en-US" w:eastAsia="zh-CN" w:bidi="ar"/>
              </w:rPr>
              <w:t>品牌/产</w:t>
            </w:r>
            <w:r>
              <w:rPr>
                <w:rFonts w:hint="eastAsia" w:ascii="仿宋" w:hAnsi="仿宋" w:eastAsia="仿宋" w:cs="仿宋"/>
                <w:color w:val="000000"/>
                <w:kern w:val="0"/>
                <w:sz w:val="24"/>
                <w:szCs w:val="24"/>
                <w:lang w:val="en-US" w:eastAsia="zh-CN" w:bidi="ar"/>
              </w:rPr>
              <w:t>地</w:t>
            </w:r>
          </w:p>
          <w:p>
            <w:pPr>
              <w:jc w:val="center"/>
              <w:rPr>
                <w:vertAlign w:val="baseline"/>
              </w:rPr>
            </w:pPr>
          </w:p>
        </w:tc>
        <w:tc>
          <w:tcPr>
            <w:tcW w:w="1560"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rPr>
                <w:vertAlign w:val="baseline"/>
              </w:rPr>
            </w:pPr>
            <w:r>
              <w:rPr>
                <w:rFonts w:ascii="仿宋" w:hAnsi="仿宋" w:eastAsia="仿宋" w:cs="仿宋"/>
                <w:color w:val="000000"/>
                <w:kern w:val="0"/>
                <w:sz w:val="24"/>
                <w:szCs w:val="24"/>
                <w:lang w:val="en-US" w:eastAsia="zh-CN" w:bidi="ar"/>
              </w:rPr>
              <w:t>已使用年</w:t>
            </w:r>
            <w:r>
              <w:rPr>
                <w:rFonts w:hint="eastAsia" w:ascii="仿宋" w:hAnsi="仿宋" w:eastAsia="仿宋" w:cs="仿宋"/>
                <w:color w:val="000000"/>
                <w:kern w:val="0"/>
                <w:sz w:val="24"/>
                <w:szCs w:val="24"/>
                <w:lang w:val="en-US" w:eastAsia="zh-CN" w:bidi="ar"/>
              </w:rPr>
              <w:t>限</w:t>
            </w:r>
          </w:p>
        </w:tc>
        <w:tc>
          <w:tcPr>
            <w:tcW w:w="1266"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pPr>
            <w:r>
              <w:rPr>
                <w:rFonts w:ascii="仿宋" w:hAnsi="仿宋" w:eastAsia="仿宋" w:cs="仿宋"/>
                <w:color w:val="000000"/>
                <w:kern w:val="0"/>
                <w:sz w:val="24"/>
                <w:szCs w:val="24"/>
                <w:lang w:val="en-US" w:eastAsia="zh-CN" w:bidi="ar"/>
              </w:rPr>
              <w:t>数量</w:t>
            </w:r>
          </w:p>
          <w:p>
            <w:pPr>
              <w:keepNext w:val="0"/>
              <w:keepLines w:val="0"/>
              <w:widowControl/>
              <w:suppressLineNumbers w:val="0"/>
              <w:jc w:val="center"/>
            </w:pPr>
            <w:r>
              <w:rPr>
                <w:rFonts w:hint="eastAsia" w:ascii="仿宋" w:hAnsi="仿宋" w:eastAsia="仿宋" w:cs="仿宋"/>
                <w:color w:val="000000"/>
                <w:kern w:val="0"/>
                <w:sz w:val="24"/>
                <w:szCs w:val="24"/>
                <w:lang w:val="en-US" w:eastAsia="zh-CN" w:bidi="ar"/>
              </w:rPr>
              <w:t>（台）</w:t>
            </w:r>
          </w:p>
          <w:p>
            <w:pPr>
              <w:jc w:val="center"/>
              <w:rPr>
                <w:vertAlign w:val="baseline"/>
              </w:rPr>
            </w:pPr>
          </w:p>
        </w:tc>
        <w:tc>
          <w:tcPr>
            <w:tcW w:w="1172"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pPr>
            <w:r>
              <w:rPr>
                <w:rFonts w:ascii="仿宋" w:hAnsi="仿宋" w:eastAsia="仿宋" w:cs="仿宋"/>
                <w:color w:val="000000"/>
                <w:kern w:val="0"/>
                <w:sz w:val="24"/>
                <w:szCs w:val="24"/>
                <w:lang w:val="en-US" w:eastAsia="zh-CN" w:bidi="ar"/>
              </w:rPr>
              <w:t>价格</w:t>
            </w:r>
          </w:p>
          <w:p>
            <w:pPr>
              <w:keepNext w:val="0"/>
              <w:keepLines w:val="0"/>
              <w:widowControl/>
              <w:suppressLineNumbers w:val="0"/>
              <w:jc w:val="center"/>
            </w:pPr>
            <w:r>
              <w:rPr>
                <w:rFonts w:hint="eastAsia" w:ascii="仿宋" w:hAnsi="仿宋" w:eastAsia="仿宋" w:cs="仿宋"/>
                <w:color w:val="000000"/>
                <w:kern w:val="0"/>
                <w:sz w:val="24"/>
                <w:szCs w:val="24"/>
                <w:lang w:val="en-US" w:eastAsia="zh-CN" w:bidi="ar"/>
              </w:rPr>
              <w:t>(元)</w:t>
            </w:r>
          </w:p>
          <w:p>
            <w:pPr>
              <w:jc w:val="center"/>
              <w:rPr>
                <w:vertAlign w:val="baseline"/>
              </w:rPr>
            </w:pPr>
          </w:p>
        </w:tc>
        <w:tc>
          <w:tcPr>
            <w:tcW w:w="1075"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pPr>
            <w:r>
              <w:rPr>
                <w:rFonts w:ascii="仿宋" w:hAnsi="仿宋" w:eastAsia="仿宋" w:cs="仿宋"/>
                <w:color w:val="000000"/>
                <w:kern w:val="0"/>
                <w:sz w:val="24"/>
                <w:szCs w:val="24"/>
                <w:lang w:val="en-US" w:eastAsia="zh-CN" w:bidi="ar"/>
              </w:rPr>
              <w:t>备注</w:t>
            </w:r>
          </w:p>
          <w:p>
            <w:pPr>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jc w:val="both"/>
              <w:rPr>
                <w:vertAlign w:val="baseline"/>
              </w:rPr>
            </w:pPr>
          </w:p>
          <w:p>
            <w:pPr>
              <w:jc w:val="both"/>
              <w:rPr>
                <w:vertAlign w:val="baseline"/>
              </w:rPr>
            </w:pPr>
          </w:p>
        </w:tc>
        <w:tc>
          <w:tcPr>
            <w:tcW w:w="1449" w:type="dxa"/>
          </w:tcPr>
          <w:p>
            <w:pPr>
              <w:jc w:val="both"/>
              <w:rPr>
                <w:vertAlign w:val="baseline"/>
              </w:rPr>
            </w:pPr>
          </w:p>
        </w:tc>
        <w:tc>
          <w:tcPr>
            <w:tcW w:w="1633" w:type="dxa"/>
          </w:tcPr>
          <w:p>
            <w:pPr>
              <w:jc w:val="both"/>
              <w:rPr>
                <w:vertAlign w:val="baseline"/>
              </w:rPr>
            </w:pPr>
          </w:p>
        </w:tc>
        <w:tc>
          <w:tcPr>
            <w:tcW w:w="1320" w:type="dxa"/>
          </w:tcPr>
          <w:p>
            <w:pPr>
              <w:jc w:val="both"/>
              <w:rPr>
                <w:vertAlign w:val="baseline"/>
              </w:rPr>
            </w:pPr>
          </w:p>
        </w:tc>
        <w:tc>
          <w:tcPr>
            <w:tcW w:w="1560" w:type="dxa"/>
          </w:tcPr>
          <w:p>
            <w:pPr>
              <w:jc w:val="both"/>
              <w:rPr>
                <w:vertAlign w:val="baseline"/>
              </w:rPr>
            </w:pPr>
          </w:p>
        </w:tc>
        <w:tc>
          <w:tcPr>
            <w:tcW w:w="1266" w:type="dxa"/>
          </w:tcPr>
          <w:p>
            <w:pPr>
              <w:jc w:val="both"/>
              <w:rPr>
                <w:vertAlign w:val="baseline"/>
              </w:rPr>
            </w:pPr>
          </w:p>
        </w:tc>
        <w:tc>
          <w:tcPr>
            <w:tcW w:w="1172" w:type="dxa"/>
          </w:tcPr>
          <w:p>
            <w:pPr>
              <w:jc w:val="both"/>
              <w:rPr>
                <w:vertAlign w:val="baseline"/>
              </w:rPr>
            </w:pPr>
          </w:p>
        </w:tc>
        <w:tc>
          <w:tcPr>
            <w:tcW w:w="1075" w:type="dxa"/>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jc w:val="both"/>
              <w:rPr>
                <w:vertAlign w:val="baseline"/>
              </w:rPr>
            </w:pPr>
          </w:p>
          <w:p>
            <w:pPr>
              <w:jc w:val="both"/>
              <w:rPr>
                <w:vertAlign w:val="baseline"/>
              </w:rPr>
            </w:pPr>
          </w:p>
        </w:tc>
        <w:tc>
          <w:tcPr>
            <w:tcW w:w="1449" w:type="dxa"/>
          </w:tcPr>
          <w:p>
            <w:pPr>
              <w:jc w:val="both"/>
              <w:rPr>
                <w:vertAlign w:val="baseline"/>
              </w:rPr>
            </w:pPr>
          </w:p>
        </w:tc>
        <w:tc>
          <w:tcPr>
            <w:tcW w:w="1633" w:type="dxa"/>
          </w:tcPr>
          <w:p>
            <w:pPr>
              <w:jc w:val="both"/>
              <w:rPr>
                <w:vertAlign w:val="baseline"/>
              </w:rPr>
            </w:pPr>
          </w:p>
        </w:tc>
        <w:tc>
          <w:tcPr>
            <w:tcW w:w="1320" w:type="dxa"/>
          </w:tcPr>
          <w:p>
            <w:pPr>
              <w:jc w:val="both"/>
              <w:rPr>
                <w:vertAlign w:val="baseline"/>
              </w:rPr>
            </w:pPr>
          </w:p>
        </w:tc>
        <w:tc>
          <w:tcPr>
            <w:tcW w:w="1560" w:type="dxa"/>
          </w:tcPr>
          <w:p>
            <w:pPr>
              <w:jc w:val="both"/>
              <w:rPr>
                <w:vertAlign w:val="baseline"/>
              </w:rPr>
            </w:pPr>
          </w:p>
        </w:tc>
        <w:tc>
          <w:tcPr>
            <w:tcW w:w="1266" w:type="dxa"/>
          </w:tcPr>
          <w:p>
            <w:pPr>
              <w:jc w:val="both"/>
              <w:rPr>
                <w:vertAlign w:val="baseline"/>
              </w:rPr>
            </w:pPr>
          </w:p>
        </w:tc>
        <w:tc>
          <w:tcPr>
            <w:tcW w:w="1172" w:type="dxa"/>
          </w:tcPr>
          <w:p>
            <w:pPr>
              <w:jc w:val="both"/>
              <w:rPr>
                <w:vertAlign w:val="baseline"/>
              </w:rPr>
            </w:pPr>
          </w:p>
        </w:tc>
        <w:tc>
          <w:tcPr>
            <w:tcW w:w="1075" w:type="dxa"/>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jc w:val="both"/>
              <w:rPr>
                <w:vertAlign w:val="baseline"/>
              </w:rPr>
            </w:pPr>
          </w:p>
          <w:p>
            <w:pPr>
              <w:jc w:val="both"/>
              <w:rPr>
                <w:vertAlign w:val="baseline"/>
              </w:rPr>
            </w:pPr>
          </w:p>
        </w:tc>
        <w:tc>
          <w:tcPr>
            <w:tcW w:w="1449" w:type="dxa"/>
          </w:tcPr>
          <w:p>
            <w:pPr>
              <w:jc w:val="both"/>
              <w:rPr>
                <w:vertAlign w:val="baseline"/>
              </w:rPr>
            </w:pPr>
          </w:p>
        </w:tc>
        <w:tc>
          <w:tcPr>
            <w:tcW w:w="1633" w:type="dxa"/>
          </w:tcPr>
          <w:p>
            <w:pPr>
              <w:jc w:val="both"/>
              <w:rPr>
                <w:vertAlign w:val="baseline"/>
              </w:rPr>
            </w:pPr>
          </w:p>
        </w:tc>
        <w:tc>
          <w:tcPr>
            <w:tcW w:w="1320" w:type="dxa"/>
          </w:tcPr>
          <w:p>
            <w:pPr>
              <w:jc w:val="both"/>
              <w:rPr>
                <w:vertAlign w:val="baseline"/>
              </w:rPr>
            </w:pPr>
          </w:p>
        </w:tc>
        <w:tc>
          <w:tcPr>
            <w:tcW w:w="1560" w:type="dxa"/>
          </w:tcPr>
          <w:p>
            <w:pPr>
              <w:jc w:val="both"/>
              <w:rPr>
                <w:vertAlign w:val="baseline"/>
              </w:rPr>
            </w:pPr>
          </w:p>
        </w:tc>
        <w:tc>
          <w:tcPr>
            <w:tcW w:w="1266" w:type="dxa"/>
          </w:tcPr>
          <w:p>
            <w:pPr>
              <w:jc w:val="both"/>
              <w:rPr>
                <w:vertAlign w:val="baseline"/>
              </w:rPr>
            </w:pPr>
          </w:p>
        </w:tc>
        <w:tc>
          <w:tcPr>
            <w:tcW w:w="1172" w:type="dxa"/>
          </w:tcPr>
          <w:p>
            <w:pPr>
              <w:jc w:val="both"/>
              <w:rPr>
                <w:vertAlign w:val="baseline"/>
              </w:rPr>
            </w:pPr>
          </w:p>
        </w:tc>
        <w:tc>
          <w:tcPr>
            <w:tcW w:w="1075" w:type="dxa"/>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jc w:val="both"/>
              <w:rPr>
                <w:vertAlign w:val="baseline"/>
              </w:rPr>
            </w:pPr>
          </w:p>
          <w:p>
            <w:pPr>
              <w:jc w:val="both"/>
              <w:rPr>
                <w:vertAlign w:val="baseline"/>
              </w:rPr>
            </w:pPr>
          </w:p>
        </w:tc>
        <w:tc>
          <w:tcPr>
            <w:tcW w:w="1449" w:type="dxa"/>
          </w:tcPr>
          <w:p>
            <w:pPr>
              <w:jc w:val="both"/>
              <w:rPr>
                <w:vertAlign w:val="baseline"/>
              </w:rPr>
            </w:pPr>
          </w:p>
        </w:tc>
        <w:tc>
          <w:tcPr>
            <w:tcW w:w="1633" w:type="dxa"/>
          </w:tcPr>
          <w:p>
            <w:pPr>
              <w:jc w:val="both"/>
              <w:rPr>
                <w:vertAlign w:val="baseline"/>
              </w:rPr>
            </w:pPr>
          </w:p>
        </w:tc>
        <w:tc>
          <w:tcPr>
            <w:tcW w:w="1320" w:type="dxa"/>
          </w:tcPr>
          <w:p>
            <w:pPr>
              <w:jc w:val="both"/>
              <w:rPr>
                <w:vertAlign w:val="baseline"/>
              </w:rPr>
            </w:pPr>
          </w:p>
        </w:tc>
        <w:tc>
          <w:tcPr>
            <w:tcW w:w="1560" w:type="dxa"/>
          </w:tcPr>
          <w:p>
            <w:pPr>
              <w:jc w:val="both"/>
              <w:rPr>
                <w:vertAlign w:val="baseline"/>
              </w:rPr>
            </w:pPr>
          </w:p>
        </w:tc>
        <w:tc>
          <w:tcPr>
            <w:tcW w:w="1266" w:type="dxa"/>
          </w:tcPr>
          <w:p>
            <w:pPr>
              <w:jc w:val="both"/>
              <w:rPr>
                <w:vertAlign w:val="baseline"/>
              </w:rPr>
            </w:pPr>
          </w:p>
        </w:tc>
        <w:tc>
          <w:tcPr>
            <w:tcW w:w="1172" w:type="dxa"/>
          </w:tcPr>
          <w:p>
            <w:pPr>
              <w:jc w:val="both"/>
              <w:rPr>
                <w:vertAlign w:val="baseline"/>
              </w:rPr>
            </w:pPr>
          </w:p>
        </w:tc>
        <w:tc>
          <w:tcPr>
            <w:tcW w:w="1075" w:type="dxa"/>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pPr>
              <w:jc w:val="both"/>
              <w:rPr>
                <w:vertAlign w:val="baseline"/>
              </w:rPr>
            </w:pPr>
          </w:p>
          <w:p>
            <w:pPr>
              <w:jc w:val="both"/>
              <w:rPr>
                <w:vertAlign w:val="baseline"/>
              </w:rPr>
            </w:pPr>
          </w:p>
        </w:tc>
        <w:tc>
          <w:tcPr>
            <w:tcW w:w="1449" w:type="dxa"/>
          </w:tcPr>
          <w:p>
            <w:pPr>
              <w:jc w:val="both"/>
              <w:rPr>
                <w:vertAlign w:val="baseline"/>
              </w:rPr>
            </w:pPr>
          </w:p>
        </w:tc>
        <w:tc>
          <w:tcPr>
            <w:tcW w:w="1633" w:type="dxa"/>
          </w:tcPr>
          <w:p>
            <w:pPr>
              <w:jc w:val="both"/>
              <w:rPr>
                <w:vertAlign w:val="baseline"/>
              </w:rPr>
            </w:pPr>
          </w:p>
        </w:tc>
        <w:tc>
          <w:tcPr>
            <w:tcW w:w="1320" w:type="dxa"/>
          </w:tcPr>
          <w:p>
            <w:pPr>
              <w:jc w:val="both"/>
              <w:rPr>
                <w:vertAlign w:val="baseline"/>
              </w:rPr>
            </w:pPr>
          </w:p>
        </w:tc>
        <w:tc>
          <w:tcPr>
            <w:tcW w:w="1560" w:type="dxa"/>
          </w:tcPr>
          <w:p>
            <w:pPr>
              <w:jc w:val="both"/>
              <w:rPr>
                <w:vertAlign w:val="baseline"/>
              </w:rPr>
            </w:pPr>
          </w:p>
        </w:tc>
        <w:tc>
          <w:tcPr>
            <w:tcW w:w="1266" w:type="dxa"/>
          </w:tcPr>
          <w:p>
            <w:pPr>
              <w:jc w:val="both"/>
              <w:rPr>
                <w:vertAlign w:val="baseline"/>
              </w:rPr>
            </w:pPr>
          </w:p>
        </w:tc>
        <w:tc>
          <w:tcPr>
            <w:tcW w:w="1172" w:type="dxa"/>
          </w:tcPr>
          <w:p>
            <w:pPr>
              <w:jc w:val="both"/>
              <w:rPr>
                <w:vertAlign w:val="baseline"/>
              </w:rPr>
            </w:pPr>
          </w:p>
        </w:tc>
        <w:tc>
          <w:tcPr>
            <w:tcW w:w="1075" w:type="dxa"/>
          </w:tcPr>
          <w:p>
            <w:pPr>
              <w:jc w:val="both"/>
              <w:rPr>
                <w:vertAlign w:val="baseline"/>
              </w:rPr>
            </w:pPr>
          </w:p>
        </w:tc>
      </w:tr>
    </w:tbl>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备注：1、本表所列为投标单位拟投入的设备、工具、器械清单。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300"/>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2、本表所列设备价格不计入投标总价，但应在投标价格中考虑设备损耗及相关费用。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300"/>
        <w:jc w:val="left"/>
        <w:textAlignment w:val="auto"/>
      </w:pPr>
      <w:r>
        <w:rPr>
          <w:rFonts w:hint="eastAsia" w:ascii="仿宋" w:hAnsi="仿宋" w:eastAsia="仿宋" w:cs="仿宋"/>
          <w:color w:val="000000"/>
          <w:kern w:val="0"/>
          <w:sz w:val="24"/>
          <w:szCs w:val="24"/>
          <w:lang w:val="en-US" w:eastAsia="zh-CN" w:bidi="ar"/>
        </w:rPr>
        <w:t xml:space="preserve">3、此表仅提供了表格形式，投标单位可按此表格复制。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pStyle w:val="11"/>
        <w:kinsoku w:val="0"/>
        <w:overflowPunct w:val="0"/>
        <w:ind w:left="212"/>
        <w:rPr>
          <w:sz w:val="24"/>
          <w:szCs w:val="24"/>
        </w:rPr>
      </w:pPr>
      <w:r>
        <w:rPr>
          <w:rFonts w:hint="eastAsia"/>
          <w:sz w:val="24"/>
          <w:szCs w:val="24"/>
        </w:rPr>
        <w:t>供应商名称（加盖公章）：</w:t>
      </w:r>
    </w:p>
    <w:p>
      <w:pPr>
        <w:pStyle w:val="11"/>
        <w:kinsoku w:val="0"/>
        <w:overflowPunct w:val="0"/>
        <w:rPr>
          <w:sz w:val="24"/>
          <w:szCs w:val="24"/>
        </w:rPr>
      </w:pPr>
    </w:p>
    <w:p>
      <w:pPr>
        <w:pStyle w:val="11"/>
        <w:tabs>
          <w:tab w:val="left" w:pos="5094"/>
        </w:tabs>
        <w:kinsoku w:val="0"/>
        <w:overflowPunct w:val="0"/>
        <w:ind w:left="212"/>
        <w:rPr>
          <w:rFonts w:ascii="Times New Roman" w:hAnsi="Times New Roman" w:eastAsia="Times New Roman"/>
          <w:sz w:val="24"/>
          <w:szCs w:val="24"/>
        </w:rPr>
      </w:pPr>
      <w:r>
        <w:rPr>
          <w:rFonts w:hint="eastAsia"/>
          <w:sz w:val="24"/>
          <w:szCs w:val="24"/>
        </w:rPr>
        <w:t>法定代表人或其委托人签字：</w:t>
      </w:r>
      <w:r>
        <w:rPr>
          <w:rFonts w:ascii="Times New Roman" w:hAnsi="Times New Roman" w:eastAsia="Times New Roman"/>
          <w:sz w:val="24"/>
          <w:szCs w:val="24"/>
          <w:u w:val="single"/>
        </w:rPr>
        <w:tab/>
      </w:r>
    </w:p>
    <w:p>
      <w:pPr>
        <w:pStyle w:val="11"/>
        <w:kinsoku w:val="0"/>
        <w:overflowPunct w:val="0"/>
        <w:rPr>
          <w:rFonts w:ascii="Times New Roman" w:hAnsi="Times New Roman" w:eastAsia="Times New Roman"/>
          <w:sz w:val="24"/>
          <w:szCs w:val="24"/>
        </w:rPr>
      </w:pPr>
    </w:p>
    <w:p>
      <w:pPr>
        <w:widowControl/>
        <w:ind w:firstLine="228" w:firstLineChars="100"/>
        <w:rPr>
          <w:sz w:val="24"/>
          <w:szCs w:val="24"/>
        </w:rPr>
      </w:pPr>
      <w:r>
        <w:rPr>
          <w:rFonts w:hint="eastAsia"/>
          <w:w w:val="95"/>
          <w:sz w:val="24"/>
          <w:szCs w:val="24"/>
        </w:rPr>
        <w:t>日</w:t>
      </w:r>
      <w:r>
        <w:rPr>
          <w:rFonts w:hint="eastAsia"/>
          <w:w w:val="95"/>
          <w:sz w:val="24"/>
          <w:szCs w:val="24"/>
        </w:rPr>
        <w:tab/>
      </w:r>
      <w:r>
        <w:rPr>
          <w:rFonts w:hint="eastAsia"/>
          <w:sz w:val="24"/>
          <w:szCs w:val="24"/>
        </w:rPr>
        <w:t>期：</w:t>
      </w:r>
    </w:p>
    <w:p/>
    <w:p/>
    <w:p/>
    <w:p/>
    <w:p/>
    <w:p/>
    <w:p>
      <w:pPr>
        <w:keepNext w:val="0"/>
        <w:keepLines w:val="0"/>
        <w:widowControl/>
        <w:suppressLineNumbers w:val="0"/>
        <w:jc w:val="center"/>
        <w:rPr>
          <w:rFonts w:ascii="仿宋" w:hAnsi="仿宋" w:eastAsia="仿宋" w:cs="仿宋"/>
          <w:b/>
          <w:color w:val="000000"/>
          <w:kern w:val="0"/>
          <w:sz w:val="30"/>
          <w:szCs w:val="30"/>
          <w:lang w:val="en-US" w:eastAsia="zh-CN" w:bidi="ar"/>
        </w:rPr>
      </w:pPr>
    </w:p>
    <w:p>
      <w:pPr>
        <w:keepNext w:val="0"/>
        <w:keepLines w:val="0"/>
        <w:widowControl/>
        <w:suppressLineNumbers w:val="0"/>
        <w:jc w:val="center"/>
        <w:rPr>
          <w:rFonts w:ascii="仿宋" w:hAnsi="仿宋" w:eastAsia="仿宋" w:cs="仿宋"/>
          <w:b/>
          <w:color w:val="000000"/>
          <w:kern w:val="0"/>
          <w:sz w:val="30"/>
          <w:szCs w:val="30"/>
          <w:lang w:val="en-US" w:eastAsia="zh-CN" w:bidi="ar"/>
        </w:rPr>
      </w:pPr>
    </w:p>
    <w:p>
      <w:pPr>
        <w:keepNext w:val="0"/>
        <w:keepLines w:val="0"/>
        <w:widowControl/>
        <w:suppressLineNumbers w:val="0"/>
        <w:jc w:val="center"/>
      </w:pPr>
      <w:r>
        <w:rPr>
          <w:rFonts w:hint="eastAsia" w:cs="仿宋"/>
          <w:b/>
          <w:color w:val="000000"/>
          <w:kern w:val="0"/>
          <w:sz w:val="30"/>
          <w:szCs w:val="30"/>
          <w:lang w:val="en-US" w:eastAsia="zh-CN" w:bidi="ar"/>
        </w:rPr>
        <w:t>4</w:t>
      </w:r>
      <w:r>
        <w:rPr>
          <w:rFonts w:ascii="仿宋" w:hAnsi="仿宋" w:eastAsia="仿宋" w:cs="仿宋"/>
          <w:b/>
          <w:color w:val="000000"/>
          <w:kern w:val="0"/>
          <w:sz w:val="30"/>
          <w:szCs w:val="30"/>
          <w:lang w:val="en-US" w:eastAsia="zh-CN" w:bidi="ar"/>
        </w:rPr>
        <w:t>、耗材配备明细表</w:t>
      </w:r>
      <w:r>
        <w:rPr>
          <w:rFonts w:hint="eastAsia" w:cs="仿宋"/>
          <w:b/>
          <w:color w:val="000000"/>
          <w:kern w:val="0"/>
          <w:sz w:val="30"/>
          <w:szCs w:val="30"/>
          <w:lang w:val="en-US" w:eastAsia="zh-CN" w:bidi="ar"/>
        </w:rPr>
        <w:t>（如有）</w:t>
      </w:r>
    </w:p>
    <w:p/>
    <w:tbl>
      <w:tblPr>
        <w:tblStyle w:val="22"/>
        <w:tblW w:w="10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836"/>
        <w:gridCol w:w="1836"/>
        <w:gridCol w:w="2024"/>
        <w:gridCol w:w="1461"/>
        <w:gridCol w:w="108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86"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rPr>
                <w:vertAlign w:val="baseline"/>
              </w:rPr>
            </w:pPr>
            <w:r>
              <w:rPr>
                <w:rFonts w:ascii="仿宋" w:hAnsi="仿宋" w:eastAsia="仿宋" w:cs="仿宋"/>
                <w:color w:val="000000"/>
                <w:kern w:val="0"/>
                <w:sz w:val="24"/>
                <w:szCs w:val="24"/>
                <w:lang w:val="en-US" w:eastAsia="zh-CN" w:bidi="ar"/>
              </w:rPr>
              <w:t>序号</w:t>
            </w:r>
          </w:p>
        </w:tc>
        <w:tc>
          <w:tcPr>
            <w:tcW w:w="1836"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rPr>
                <w:vertAlign w:val="baseline"/>
              </w:rPr>
            </w:pPr>
            <w:r>
              <w:rPr>
                <w:rFonts w:hint="eastAsia" w:ascii="仿宋" w:hAnsi="仿宋" w:eastAsia="仿宋" w:cs="仿宋"/>
                <w:color w:val="000000"/>
                <w:kern w:val="0"/>
                <w:sz w:val="24"/>
                <w:szCs w:val="24"/>
                <w:lang w:val="en-US" w:eastAsia="zh-CN" w:bidi="ar"/>
              </w:rPr>
              <w:t>耗材</w:t>
            </w:r>
            <w:r>
              <w:rPr>
                <w:rFonts w:ascii="仿宋" w:hAnsi="仿宋" w:eastAsia="仿宋" w:cs="仿宋"/>
                <w:color w:val="000000"/>
                <w:kern w:val="0"/>
                <w:sz w:val="24"/>
                <w:szCs w:val="24"/>
                <w:lang w:val="en-US" w:eastAsia="zh-CN" w:bidi="ar"/>
              </w:rPr>
              <w:t>名</w:t>
            </w:r>
            <w:r>
              <w:rPr>
                <w:rFonts w:hint="eastAsia" w:ascii="仿宋" w:hAnsi="仿宋" w:eastAsia="仿宋" w:cs="仿宋"/>
                <w:color w:val="000000"/>
                <w:kern w:val="0"/>
                <w:sz w:val="24"/>
                <w:szCs w:val="24"/>
                <w:lang w:val="en-US" w:eastAsia="zh-CN" w:bidi="ar"/>
              </w:rPr>
              <w:t>称</w:t>
            </w:r>
          </w:p>
        </w:tc>
        <w:tc>
          <w:tcPr>
            <w:tcW w:w="1836"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pPr>
            <w:r>
              <w:rPr>
                <w:rFonts w:ascii="仿宋" w:hAnsi="仿宋" w:eastAsia="仿宋" w:cs="仿宋"/>
                <w:color w:val="000000"/>
                <w:kern w:val="0"/>
                <w:sz w:val="24"/>
                <w:szCs w:val="24"/>
                <w:lang w:val="en-US" w:eastAsia="zh-CN" w:bidi="ar"/>
              </w:rPr>
              <w:t>规格型</w:t>
            </w:r>
            <w:r>
              <w:rPr>
                <w:rFonts w:hint="eastAsia" w:ascii="仿宋" w:hAnsi="仿宋" w:eastAsia="仿宋" w:cs="仿宋"/>
                <w:color w:val="000000"/>
                <w:kern w:val="0"/>
                <w:sz w:val="24"/>
                <w:szCs w:val="24"/>
                <w:lang w:val="en-US" w:eastAsia="zh-CN" w:bidi="ar"/>
              </w:rPr>
              <w:t>号</w:t>
            </w:r>
          </w:p>
          <w:p>
            <w:pPr>
              <w:jc w:val="center"/>
              <w:rPr>
                <w:vertAlign w:val="baseline"/>
              </w:rPr>
            </w:pPr>
          </w:p>
        </w:tc>
        <w:tc>
          <w:tcPr>
            <w:tcW w:w="2024"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pPr>
            <w:r>
              <w:rPr>
                <w:rFonts w:ascii="仿宋" w:hAnsi="仿宋" w:eastAsia="仿宋" w:cs="仿宋"/>
                <w:color w:val="000000"/>
                <w:kern w:val="0"/>
                <w:sz w:val="24"/>
                <w:szCs w:val="24"/>
                <w:lang w:val="en-US" w:eastAsia="zh-CN" w:bidi="ar"/>
              </w:rPr>
              <w:t>品牌/产</w:t>
            </w:r>
            <w:r>
              <w:rPr>
                <w:rFonts w:hint="eastAsia" w:ascii="仿宋" w:hAnsi="仿宋" w:eastAsia="仿宋" w:cs="仿宋"/>
                <w:color w:val="000000"/>
                <w:kern w:val="0"/>
                <w:sz w:val="24"/>
                <w:szCs w:val="24"/>
                <w:lang w:val="en-US" w:eastAsia="zh-CN" w:bidi="ar"/>
              </w:rPr>
              <w:t>地</w:t>
            </w:r>
          </w:p>
          <w:p>
            <w:pPr>
              <w:jc w:val="center"/>
              <w:rPr>
                <w:vertAlign w:val="baseline"/>
              </w:rPr>
            </w:pPr>
          </w:p>
        </w:tc>
        <w:tc>
          <w:tcPr>
            <w:tcW w:w="1461"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pPr>
            <w:r>
              <w:rPr>
                <w:rFonts w:ascii="仿宋" w:hAnsi="仿宋" w:eastAsia="仿宋" w:cs="仿宋"/>
                <w:color w:val="000000"/>
                <w:kern w:val="0"/>
                <w:sz w:val="24"/>
                <w:szCs w:val="24"/>
                <w:lang w:val="en-US" w:eastAsia="zh-CN" w:bidi="ar"/>
              </w:rPr>
              <w:t>数量</w:t>
            </w:r>
          </w:p>
          <w:p>
            <w:pPr>
              <w:keepNext w:val="0"/>
              <w:keepLines w:val="0"/>
              <w:widowControl/>
              <w:suppressLineNumbers w:val="0"/>
              <w:jc w:val="center"/>
            </w:pPr>
            <w:r>
              <w:rPr>
                <w:rFonts w:hint="eastAsia" w:ascii="仿宋" w:hAnsi="仿宋" w:eastAsia="仿宋" w:cs="仿宋"/>
                <w:color w:val="000000"/>
                <w:kern w:val="0"/>
                <w:sz w:val="24"/>
                <w:szCs w:val="24"/>
                <w:lang w:val="en-US" w:eastAsia="zh-CN" w:bidi="ar"/>
              </w:rPr>
              <w:t>（台）</w:t>
            </w:r>
          </w:p>
          <w:p>
            <w:pPr>
              <w:jc w:val="center"/>
              <w:rPr>
                <w:vertAlign w:val="baseline"/>
              </w:rPr>
            </w:pPr>
          </w:p>
        </w:tc>
        <w:tc>
          <w:tcPr>
            <w:tcW w:w="1086"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pPr>
            <w:r>
              <w:rPr>
                <w:rFonts w:ascii="仿宋" w:hAnsi="仿宋" w:eastAsia="仿宋" w:cs="仿宋"/>
                <w:color w:val="000000"/>
                <w:kern w:val="0"/>
                <w:sz w:val="24"/>
                <w:szCs w:val="24"/>
                <w:lang w:val="en-US" w:eastAsia="zh-CN" w:bidi="ar"/>
              </w:rPr>
              <w:t>价格</w:t>
            </w:r>
          </w:p>
          <w:p>
            <w:pPr>
              <w:keepNext w:val="0"/>
              <w:keepLines w:val="0"/>
              <w:widowControl/>
              <w:suppressLineNumbers w:val="0"/>
              <w:jc w:val="center"/>
            </w:pPr>
            <w:r>
              <w:rPr>
                <w:rFonts w:hint="eastAsia" w:ascii="仿宋" w:hAnsi="仿宋" w:eastAsia="仿宋" w:cs="仿宋"/>
                <w:color w:val="000000"/>
                <w:kern w:val="0"/>
                <w:sz w:val="24"/>
                <w:szCs w:val="24"/>
                <w:lang w:val="en-US" w:eastAsia="zh-CN" w:bidi="ar"/>
              </w:rPr>
              <w:t>(元)</w:t>
            </w:r>
          </w:p>
          <w:p>
            <w:pPr>
              <w:jc w:val="center"/>
              <w:rPr>
                <w:vertAlign w:val="baseline"/>
              </w:rPr>
            </w:pPr>
          </w:p>
        </w:tc>
        <w:tc>
          <w:tcPr>
            <w:tcW w:w="1087" w:type="dxa"/>
          </w:tcPr>
          <w:p>
            <w:pPr>
              <w:keepNext w:val="0"/>
              <w:keepLines w:val="0"/>
              <w:widowControl/>
              <w:suppressLineNumbers w:val="0"/>
              <w:jc w:val="center"/>
              <w:rPr>
                <w:rFonts w:ascii="仿宋" w:hAnsi="仿宋" w:eastAsia="仿宋" w:cs="仿宋"/>
                <w:color w:val="000000"/>
                <w:kern w:val="0"/>
                <w:sz w:val="24"/>
                <w:szCs w:val="24"/>
                <w:lang w:val="en-US" w:eastAsia="zh-CN" w:bidi="ar"/>
              </w:rPr>
            </w:pPr>
          </w:p>
          <w:p>
            <w:pPr>
              <w:keepNext w:val="0"/>
              <w:keepLines w:val="0"/>
              <w:widowControl/>
              <w:suppressLineNumbers w:val="0"/>
              <w:jc w:val="center"/>
            </w:pPr>
            <w:r>
              <w:rPr>
                <w:rFonts w:ascii="仿宋" w:hAnsi="仿宋" w:eastAsia="仿宋" w:cs="仿宋"/>
                <w:color w:val="000000"/>
                <w:kern w:val="0"/>
                <w:sz w:val="24"/>
                <w:szCs w:val="24"/>
                <w:lang w:val="en-US" w:eastAsia="zh-CN" w:bidi="ar"/>
              </w:rPr>
              <w:t>备注</w:t>
            </w:r>
          </w:p>
          <w:p>
            <w:pPr>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tcPr>
          <w:p>
            <w:pPr>
              <w:jc w:val="both"/>
              <w:rPr>
                <w:vertAlign w:val="baseline"/>
              </w:rPr>
            </w:pPr>
          </w:p>
          <w:p>
            <w:pPr>
              <w:jc w:val="both"/>
              <w:rPr>
                <w:vertAlign w:val="baseline"/>
              </w:rPr>
            </w:pPr>
          </w:p>
        </w:tc>
        <w:tc>
          <w:tcPr>
            <w:tcW w:w="1836" w:type="dxa"/>
          </w:tcPr>
          <w:p>
            <w:pPr>
              <w:jc w:val="both"/>
              <w:rPr>
                <w:vertAlign w:val="baseline"/>
              </w:rPr>
            </w:pPr>
          </w:p>
        </w:tc>
        <w:tc>
          <w:tcPr>
            <w:tcW w:w="1836" w:type="dxa"/>
          </w:tcPr>
          <w:p>
            <w:pPr>
              <w:jc w:val="both"/>
              <w:rPr>
                <w:vertAlign w:val="baseline"/>
              </w:rPr>
            </w:pPr>
          </w:p>
        </w:tc>
        <w:tc>
          <w:tcPr>
            <w:tcW w:w="2024" w:type="dxa"/>
          </w:tcPr>
          <w:p>
            <w:pPr>
              <w:jc w:val="both"/>
              <w:rPr>
                <w:vertAlign w:val="baseline"/>
              </w:rPr>
            </w:pPr>
          </w:p>
        </w:tc>
        <w:tc>
          <w:tcPr>
            <w:tcW w:w="1461" w:type="dxa"/>
          </w:tcPr>
          <w:p>
            <w:pPr>
              <w:jc w:val="both"/>
              <w:rPr>
                <w:vertAlign w:val="baseline"/>
              </w:rPr>
            </w:pPr>
          </w:p>
        </w:tc>
        <w:tc>
          <w:tcPr>
            <w:tcW w:w="1086" w:type="dxa"/>
          </w:tcPr>
          <w:p>
            <w:pPr>
              <w:jc w:val="both"/>
              <w:rPr>
                <w:vertAlign w:val="baseline"/>
              </w:rPr>
            </w:pPr>
          </w:p>
        </w:tc>
        <w:tc>
          <w:tcPr>
            <w:tcW w:w="1087" w:type="dxa"/>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tcPr>
          <w:p>
            <w:pPr>
              <w:jc w:val="both"/>
              <w:rPr>
                <w:vertAlign w:val="baseline"/>
              </w:rPr>
            </w:pPr>
          </w:p>
          <w:p>
            <w:pPr>
              <w:jc w:val="both"/>
              <w:rPr>
                <w:vertAlign w:val="baseline"/>
              </w:rPr>
            </w:pPr>
          </w:p>
        </w:tc>
        <w:tc>
          <w:tcPr>
            <w:tcW w:w="1836" w:type="dxa"/>
          </w:tcPr>
          <w:p>
            <w:pPr>
              <w:jc w:val="both"/>
              <w:rPr>
                <w:vertAlign w:val="baseline"/>
              </w:rPr>
            </w:pPr>
          </w:p>
        </w:tc>
        <w:tc>
          <w:tcPr>
            <w:tcW w:w="1836" w:type="dxa"/>
          </w:tcPr>
          <w:p>
            <w:pPr>
              <w:jc w:val="both"/>
              <w:rPr>
                <w:vertAlign w:val="baseline"/>
              </w:rPr>
            </w:pPr>
          </w:p>
        </w:tc>
        <w:tc>
          <w:tcPr>
            <w:tcW w:w="2024" w:type="dxa"/>
          </w:tcPr>
          <w:p>
            <w:pPr>
              <w:jc w:val="both"/>
              <w:rPr>
                <w:vertAlign w:val="baseline"/>
              </w:rPr>
            </w:pPr>
          </w:p>
        </w:tc>
        <w:tc>
          <w:tcPr>
            <w:tcW w:w="1461" w:type="dxa"/>
          </w:tcPr>
          <w:p>
            <w:pPr>
              <w:jc w:val="both"/>
              <w:rPr>
                <w:vertAlign w:val="baseline"/>
              </w:rPr>
            </w:pPr>
          </w:p>
        </w:tc>
        <w:tc>
          <w:tcPr>
            <w:tcW w:w="1086" w:type="dxa"/>
          </w:tcPr>
          <w:p>
            <w:pPr>
              <w:jc w:val="both"/>
              <w:rPr>
                <w:vertAlign w:val="baseline"/>
              </w:rPr>
            </w:pPr>
          </w:p>
        </w:tc>
        <w:tc>
          <w:tcPr>
            <w:tcW w:w="1087" w:type="dxa"/>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tcPr>
          <w:p>
            <w:pPr>
              <w:jc w:val="both"/>
              <w:rPr>
                <w:vertAlign w:val="baseline"/>
              </w:rPr>
            </w:pPr>
          </w:p>
          <w:p>
            <w:pPr>
              <w:jc w:val="both"/>
              <w:rPr>
                <w:vertAlign w:val="baseline"/>
              </w:rPr>
            </w:pPr>
          </w:p>
        </w:tc>
        <w:tc>
          <w:tcPr>
            <w:tcW w:w="1836" w:type="dxa"/>
          </w:tcPr>
          <w:p>
            <w:pPr>
              <w:jc w:val="both"/>
              <w:rPr>
                <w:vertAlign w:val="baseline"/>
              </w:rPr>
            </w:pPr>
          </w:p>
        </w:tc>
        <w:tc>
          <w:tcPr>
            <w:tcW w:w="1836" w:type="dxa"/>
          </w:tcPr>
          <w:p>
            <w:pPr>
              <w:jc w:val="both"/>
              <w:rPr>
                <w:vertAlign w:val="baseline"/>
              </w:rPr>
            </w:pPr>
          </w:p>
        </w:tc>
        <w:tc>
          <w:tcPr>
            <w:tcW w:w="2024" w:type="dxa"/>
          </w:tcPr>
          <w:p>
            <w:pPr>
              <w:jc w:val="both"/>
              <w:rPr>
                <w:vertAlign w:val="baseline"/>
              </w:rPr>
            </w:pPr>
          </w:p>
        </w:tc>
        <w:tc>
          <w:tcPr>
            <w:tcW w:w="1461" w:type="dxa"/>
          </w:tcPr>
          <w:p>
            <w:pPr>
              <w:jc w:val="both"/>
              <w:rPr>
                <w:vertAlign w:val="baseline"/>
              </w:rPr>
            </w:pPr>
          </w:p>
        </w:tc>
        <w:tc>
          <w:tcPr>
            <w:tcW w:w="1086" w:type="dxa"/>
          </w:tcPr>
          <w:p>
            <w:pPr>
              <w:jc w:val="both"/>
              <w:rPr>
                <w:vertAlign w:val="baseline"/>
              </w:rPr>
            </w:pPr>
          </w:p>
        </w:tc>
        <w:tc>
          <w:tcPr>
            <w:tcW w:w="1087" w:type="dxa"/>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tcPr>
          <w:p>
            <w:pPr>
              <w:jc w:val="both"/>
              <w:rPr>
                <w:vertAlign w:val="baseline"/>
              </w:rPr>
            </w:pPr>
          </w:p>
          <w:p>
            <w:pPr>
              <w:jc w:val="both"/>
              <w:rPr>
                <w:vertAlign w:val="baseline"/>
              </w:rPr>
            </w:pPr>
          </w:p>
        </w:tc>
        <w:tc>
          <w:tcPr>
            <w:tcW w:w="1836" w:type="dxa"/>
          </w:tcPr>
          <w:p>
            <w:pPr>
              <w:jc w:val="both"/>
              <w:rPr>
                <w:vertAlign w:val="baseline"/>
              </w:rPr>
            </w:pPr>
          </w:p>
        </w:tc>
        <w:tc>
          <w:tcPr>
            <w:tcW w:w="1836" w:type="dxa"/>
          </w:tcPr>
          <w:p>
            <w:pPr>
              <w:jc w:val="both"/>
              <w:rPr>
                <w:vertAlign w:val="baseline"/>
              </w:rPr>
            </w:pPr>
          </w:p>
        </w:tc>
        <w:tc>
          <w:tcPr>
            <w:tcW w:w="2024" w:type="dxa"/>
          </w:tcPr>
          <w:p>
            <w:pPr>
              <w:jc w:val="both"/>
              <w:rPr>
                <w:vertAlign w:val="baseline"/>
              </w:rPr>
            </w:pPr>
          </w:p>
        </w:tc>
        <w:tc>
          <w:tcPr>
            <w:tcW w:w="1461" w:type="dxa"/>
          </w:tcPr>
          <w:p>
            <w:pPr>
              <w:jc w:val="both"/>
              <w:rPr>
                <w:vertAlign w:val="baseline"/>
              </w:rPr>
            </w:pPr>
          </w:p>
        </w:tc>
        <w:tc>
          <w:tcPr>
            <w:tcW w:w="1086" w:type="dxa"/>
          </w:tcPr>
          <w:p>
            <w:pPr>
              <w:jc w:val="both"/>
              <w:rPr>
                <w:vertAlign w:val="baseline"/>
              </w:rPr>
            </w:pPr>
          </w:p>
        </w:tc>
        <w:tc>
          <w:tcPr>
            <w:tcW w:w="1087" w:type="dxa"/>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tcPr>
          <w:p>
            <w:pPr>
              <w:jc w:val="both"/>
              <w:rPr>
                <w:vertAlign w:val="baseline"/>
              </w:rPr>
            </w:pPr>
          </w:p>
          <w:p>
            <w:pPr>
              <w:jc w:val="both"/>
              <w:rPr>
                <w:vertAlign w:val="baseline"/>
              </w:rPr>
            </w:pPr>
          </w:p>
        </w:tc>
        <w:tc>
          <w:tcPr>
            <w:tcW w:w="1836" w:type="dxa"/>
          </w:tcPr>
          <w:p>
            <w:pPr>
              <w:jc w:val="both"/>
              <w:rPr>
                <w:vertAlign w:val="baseline"/>
              </w:rPr>
            </w:pPr>
          </w:p>
        </w:tc>
        <w:tc>
          <w:tcPr>
            <w:tcW w:w="1836" w:type="dxa"/>
          </w:tcPr>
          <w:p>
            <w:pPr>
              <w:jc w:val="both"/>
              <w:rPr>
                <w:vertAlign w:val="baseline"/>
              </w:rPr>
            </w:pPr>
          </w:p>
        </w:tc>
        <w:tc>
          <w:tcPr>
            <w:tcW w:w="2024" w:type="dxa"/>
          </w:tcPr>
          <w:p>
            <w:pPr>
              <w:jc w:val="both"/>
              <w:rPr>
                <w:vertAlign w:val="baseline"/>
              </w:rPr>
            </w:pPr>
          </w:p>
        </w:tc>
        <w:tc>
          <w:tcPr>
            <w:tcW w:w="1461" w:type="dxa"/>
          </w:tcPr>
          <w:p>
            <w:pPr>
              <w:jc w:val="both"/>
              <w:rPr>
                <w:vertAlign w:val="baseline"/>
              </w:rPr>
            </w:pPr>
          </w:p>
        </w:tc>
        <w:tc>
          <w:tcPr>
            <w:tcW w:w="1086" w:type="dxa"/>
          </w:tcPr>
          <w:p>
            <w:pPr>
              <w:jc w:val="both"/>
              <w:rPr>
                <w:vertAlign w:val="baseline"/>
              </w:rPr>
            </w:pPr>
          </w:p>
        </w:tc>
        <w:tc>
          <w:tcPr>
            <w:tcW w:w="1087" w:type="dxa"/>
          </w:tcPr>
          <w:p>
            <w:pPr>
              <w:jc w:val="both"/>
              <w:rPr>
                <w:vertAlign w:val="baseline"/>
              </w:rPr>
            </w:pPr>
          </w:p>
        </w:tc>
      </w:tr>
    </w:tbl>
    <w:p>
      <w:pPr>
        <w:rPr>
          <w:rFonts w:hint="eastAsia" w:eastAsiaTheme="minor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备注：1、本表所列为投标单位拟投入的消耗材料清单。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2、本表所列耗材价格应计入投标总价。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3、此表仅提供了表格形式，投标单位可按此表格复制。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pStyle w:val="11"/>
        <w:kinsoku w:val="0"/>
        <w:overflowPunct w:val="0"/>
        <w:ind w:left="212"/>
        <w:rPr>
          <w:sz w:val="24"/>
          <w:szCs w:val="24"/>
        </w:rPr>
      </w:pPr>
      <w:r>
        <w:rPr>
          <w:rFonts w:hint="eastAsia"/>
          <w:sz w:val="24"/>
          <w:szCs w:val="24"/>
        </w:rPr>
        <w:t>供应商名称（加盖公章）：</w:t>
      </w:r>
    </w:p>
    <w:p>
      <w:pPr>
        <w:pStyle w:val="11"/>
        <w:kinsoku w:val="0"/>
        <w:overflowPunct w:val="0"/>
        <w:rPr>
          <w:sz w:val="24"/>
          <w:szCs w:val="24"/>
        </w:rPr>
      </w:pPr>
    </w:p>
    <w:p>
      <w:pPr>
        <w:pStyle w:val="11"/>
        <w:tabs>
          <w:tab w:val="left" w:pos="5094"/>
        </w:tabs>
        <w:kinsoku w:val="0"/>
        <w:overflowPunct w:val="0"/>
        <w:ind w:left="212"/>
        <w:rPr>
          <w:rFonts w:ascii="Times New Roman" w:hAnsi="Times New Roman" w:eastAsia="Times New Roman"/>
          <w:sz w:val="24"/>
          <w:szCs w:val="24"/>
        </w:rPr>
      </w:pPr>
      <w:r>
        <w:rPr>
          <w:rFonts w:hint="eastAsia"/>
          <w:sz w:val="24"/>
          <w:szCs w:val="24"/>
        </w:rPr>
        <w:t>法定代表人或其委托人签字：</w:t>
      </w:r>
      <w:r>
        <w:rPr>
          <w:rFonts w:ascii="Times New Roman" w:hAnsi="Times New Roman" w:eastAsia="Times New Roman"/>
          <w:sz w:val="24"/>
          <w:szCs w:val="24"/>
          <w:u w:val="single"/>
        </w:rPr>
        <w:tab/>
      </w:r>
    </w:p>
    <w:p>
      <w:pPr>
        <w:pStyle w:val="11"/>
        <w:kinsoku w:val="0"/>
        <w:overflowPunct w:val="0"/>
        <w:rPr>
          <w:rFonts w:ascii="Times New Roman" w:hAnsi="Times New Roman" w:eastAsia="Times New Roman"/>
          <w:sz w:val="24"/>
          <w:szCs w:val="24"/>
        </w:rPr>
      </w:pPr>
    </w:p>
    <w:p>
      <w:pPr>
        <w:widowControl/>
        <w:ind w:firstLine="228" w:firstLineChars="100"/>
        <w:rPr>
          <w:sz w:val="24"/>
          <w:szCs w:val="24"/>
        </w:rPr>
      </w:pPr>
      <w:r>
        <w:rPr>
          <w:rFonts w:hint="eastAsia"/>
          <w:w w:val="95"/>
          <w:sz w:val="24"/>
          <w:szCs w:val="24"/>
        </w:rPr>
        <w:t>日</w:t>
      </w:r>
      <w:r>
        <w:rPr>
          <w:rFonts w:hint="eastAsia"/>
          <w:w w:val="95"/>
          <w:sz w:val="24"/>
          <w:szCs w:val="24"/>
        </w:rPr>
        <w:tab/>
      </w:r>
      <w:r>
        <w:rPr>
          <w:rFonts w:hint="eastAsia"/>
          <w:sz w:val="24"/>
          <w:szCs w:val="24"/>
        </w:rPr>
        <w:t>期：</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right"/>
        <w:rPr>
          <w:rFonts w:hint="eastAsia" w:ascii="宋体" w:hAnsi="宋体" w:eastAsia="宋体" w:cs="宋体"/>
          <w:color w:val="000000"/>
          <w:kern w:val="0"/>
          <w:sz w:val="24"/>
          <w:szCs w:val="24"/>
          <w:lang w:val="en-US" w:eastAsia="zh-CN" w:bidi="ar"/>
        </w:rPr>
      </w:pPr>
    </w:p>
    <w:p>
      <w:pPr>
        <w:keepNext w:val="0"/>
        <w:keepLines w:val="0"/>
        <w:widowControl/>
        <w:suppressLineNumbers w:val="0"/>
        <w:jc w:val="right"/>
        <w:rPr>
          <w:rFonts w:hint="eastAsia" w:ascii="宋体" w:hAnsi="宋体" w:eastAsia="宋体" w:cs="宋体"/>
          <w:color w:val="000000"/>
          <w:kern w:val="0"/>
          <w:sz w:val="24"/>
          <w:szCs w:val="24"/>
          <w:lang w:val="en-US" w:eastAsia="zh-CN" w:bidi="ar"/>
        </w:rPr>
      </w:pPr>
    </w:p>
    <w:p>
      <w:pPr>
        <w:keepNext w:val="0"/>
        <w:keepLines w:val="0"/>
        <w:widowControl/>
        <w:suppressLineNumbers w:val="0"/>
        <w:jc w:val="right"/>
        <w:rPr>
          <w:rFonts w:hint="eastAsia" w:ascii="宋体" w:hAnsi="宋体" w:eastAsia="宋体" w:cs="宋体"/>
          <w:color w:val="000000"/>
          <w:kern w:val="0"/>
          <w:sz w:val="24"/>
          <w:szCs w:val="24"/>
          <w:lang w:val="en-US" w:eastAsia="zh-CN" w:bidi="ar"/>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keepNext w:val="0"/>
        <w:keepLines w:val="0"/>
        <w:widowControl/>
        <w:suppressLineNumbers w:val="0"/>
        <w:wordWrap w:val="0"/>
        <w:jc w:val="right"/>
        <w:rPr>
          <w:rFonts w:hint="eastAsia" w:ascii="宋体" w:hAnsi="宋体" w:eastAsia="宋体" w:cs="宋体"/>
          <w:color w:val="000000"/>
          <w:kern w:val="0"/>
          <w:sz w:val="24"/>
          <w:szCs w:val="24"/>
          <w:lang w:val="en-US" w:eastAsia="zh-CN" w:bidi="ar"/>
        </w:rPr>
      </w:pPr>
    </w:p>
    <w:p>
      <w:pPr>
        <w:keepNext w:val="0"/>
        <w:keepLines w:val="0"/>
        <w:widowControl/>
        <w:suppressLineNumbers w:val="0"/>
        <w:wordWrap w:val="0"/>
        <w:jc w:val="right"/>
        <w:rPr>
          <w:rFonts w:hint="eastAsia" w:ascii="宋体" w:hAnsi="宋体" w:eastAsia="宋体" w:cs="宋体"/>
          <w:color w:val="000000"/>
          <w:kern w:val="0"/>
          <w:sz w:val="24"/>
          <w:szCs w:val="24"/>
          <w:lang w:val="en-US" w:eastAsia="zh-CN" w:bidi="ar"/>
        </w:rPr>
      </w:pPr>
    </w:p>
    <w:p>
      <w:pPr>
        <w:keepNext w:val="0"/>
        <w:keepLines w:val="0"/>
        <w:widowControl/>
        <w:suppressLineNumbers w:val="0"/>
        <w:wordWrap w:val="0"/>
        <w:jc w:val="both"/>
        <w:rPr>
          <w:rFonts w:hint="eastAsia" w:ascii="宋体" w:hAnsi="宋体" w:eastAsia="宋体" w:cs="宋体"/>
          <w:color w:val="000000"/>
          <w:kern w:val="0"/>
          <w:sz w:val="24"/>
          <w:szCs w:val="24"/>
          <w:lang w:val="en-US" w:eastAsia="zh-CN" w:bidi="ar"/>
        </w:rPr>
      </w:pPr>
    </w:p>
    <w:p>
      <w:pPr>
        <w:rPr>
          <w:rFonts w:hint="eastAsia" w:ascii="仿宋" w:hAnsi="仿宋" w:eastAsia="仿宋" w:cs="仿宋"/>
          <w:color w:val="000000"/>
          <w:sz w:val="24"/>
          <w:szCs w:val="24"/>
          <w:lang w:eastAsia="zh-CN"/>
        </w:rPr>
      </w:pPr>
      <w:r>
        <w:rPr>
          <w:rFonts w:hint="eastAsia" w:ascii="宋体" w:hAnsi="宋体" w:cs="宋体"/>
          <w:b/>
          <w:bCs/>
          <w:color w:val="000000"/>
          <w:sz w:val="28"/>
          <w:szCs w:val="28"/>
        </w:rPr>
        <w:br w:type="page"/>
      </w:r>
      <w:bookmarkStart w:id="23" w:name="_Toc6919"/>
      <w:r>
        <w:rPr>
          <w:rFonts w:hint="eastAsia" w:ascii="仿宋" w:hAnsi="仿宋" w:eastAsia="仿宋" w:cs="仿宋"/>
          <w:b/>
          <w:bCs/>
          <w:color w:val="000000"/>
          <w:sz w:val="24"/>
          <w:szCs w:val="24"/>
        </w:rPr>
        <w:t>附件</w:t>
      </w:r>
      <w:bookmarkEnd w:id="23"/>
      <w:r>
        <w:rPr>
          <w:rFonts w:hint="eastAsia" w:ascii="仿宋" w:hAnsi="仿宋" w:eastAsia="仿宋" w:cs="仿宋"/>
          <w:b/>
          <w:bCs/>
          <w:color w:val="000000"/>
          <w:sz w:val="24"/>
          <w:szCs w:val="24"/>
          <w:lang w:val="en-US" w:eastAsia="zh-CN"/>
        </w:rPr>
        <w:t>七</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服务要求偏离表</w:t>
      </w:r>
    </w:p>
    <w:p>
      <w:pPr>
        <w:pStyle w:val="13"/>
        <w:spacing w:beforeLines="50" w:line="240" w:lineRule="auto"/>
        <w:ind w:left="0" w:leftChars="0" w:firstLine="0" w:firstLineChars="0"/>
        <w:rPr>
          <w:rFonts w:ascii="宋体" w:hAnsi="宋体" w:cs="宋体"/>
          <w:bCs/>
          <w:color w:val="000000"/>
        </w:rPr>
      </w:pPr>
    </w:p>
    <w:p>
      <w:pPr>
        <w:pStyle w:val="13"/>
        <w:spacing w:beforeLines="50" w:line="240" w:lineRule="auto"/>
        <w:ind w:left="0" w:leftChars="0" w:firstLine="0" w:firstLineChars="0"/>
        <w:rPr>
          <w:rFonts w:ascii="宋体" w:hAnsi="宋体" w:cs="宋体"/>
          <w:bCs/>
          <w:color w:val="000000"/>
        </w:rPr>
      </w:pPr>
      <w:r>
        <w:rPr>
          <w:rFonts w:hint="eastAsia" w:ascii="宋体" w:hAnsi="宋体" w:cs="宋体"/>
          <w:bCs/>
          <w:color w:val="000000"/>
        </w:rPr>
        <w:t>项目编号：</w:t>
      </w:r>
    </w:p>
    <w:p>
      <w:pPr>
        <w:pStyle w:val="13"/>
        <w:spacing w:line="240" w:lineRule="auto"/>
        <w:ind w:left="0" w:leftChars="0" w:firstLine="0" w:firstLineChars="0"/>
        <w:rPr>
          <w:rFonts w:ascii="宋体" w:hAnsi="宋体" w:cs="宋体"/>
          <w:bCs/>
          <w:color w:val="000000"/>
        </w:rPr>
      </w:pPr>
      <w:r>
        <w:rPr>
          <w:rFonts w:hint="eastAsia" w:ascii="宋体" w:hAnsi="宋体" w:cs="宋体"/>
          <w:bCs/>
          <w:color w:val="000000"/>
        </w:rPr>
        <w:t>供应商名称：（公章）     法定代表人或授权代理人签字：</w:t>
      </w:r>
    </w:p>
    <w:tbl>
      <w:tblPr>
        <w:tblStyle w:val="21"/>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593"/>
        <w:gridCol w:w="1729"/>
        <w:gridCol w:w="1727"/>
        <w:gridCol w:w="1347"/>
        <w:gridCol w:w="158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bCs/>
                <w:color w:val="000000"/>
                <w:sz w:val="24"/>
              </w:rPr>
            </w:pPr>
            <w:r>
              <w:rPr>
                <w:rFonts w:hint="eastAsia" w:ascii="宋体" w:hAnsi="宋体" w:cs="宋体"/>
                <w:bCs/>
                <w:color w:val="000000"/>
                <w:sz w:val="24"/>
              </w:rPr>
              <w:t>序号</w:t>
            </w:r>
          </w:p>
        </w:tc>
        <w:tc>
          <w:tcPr>
            <w:tcW w:w="159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bCs/>
                <w:color w:val="000000"/>
                <w:sz w:val="24"/>
              </w:rPr>
            </w:pPr>
            <w:r>
              <w:rPr>
                <w:rFonts w:hint="eastAsia" w:ascii="宋体" w:hAnsi="宋体" w:cs="宋体"/>
                <w:bCs/>
                <w:color w:val="000000"/>
                <w:sz w:val="24"/>
              </w:rPr>
              <w:t>服务内容</w:t>
            </w:r>
          </w:p>
        </w:tc>
        <w:tc>
          <w:tcPr>
            <w:tcW w:w="17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bCs/>
                <w:color w:val="000000"/>
                <w:sz w:val="24"/>
              </w:rPr>
            </w:pPr>
            <w:r>
              <w:rPr>
                <w:rFonts w:hint="eastAsia" w:ascii="宋体" w:hAnsi="宋体" w:cs="宋体"/>
                <w:bCs/>
                <w:color w:val="000000"/>
                <w:sz w:val="24"/>
              </w:rPr>
              <w:t>竞争性磋商文件条款号</w:t>
            </w:r>
          </w:p>
        </w:tc>
        <w:tc>
          <w:tcPr>
            <w:tcW w:w="172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bCs/>
                <w:color w:val="000000"/>
                <w:sz w:val="24"/>
              </w:rPr>
            </w:pPr>
            <w:r>
              <w:rPr>
                <w:rFonts w:hint="eastAsia" w:ascii="宋体" w:hAnsi="宋体" w:cs="宋体"/>
                <w:bCs/>
                <w:color w:val="000000"/>
                <w:sz w:val="24"/>
              </w:rPr>
              <w:t>竞争性磋商文件规格</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bCs/>
                <w:color w:val="000000"/>
                <w:sz w:val="24"/>
              </w:rPr>
            </w:pPr>
            <w:r>
              <w:rPr>
                <w:rFonts w:hint="eastAsia" w:ascii="宋体" w:hAnsi="宋体" w:cs="宋体"/>
                <w:bCs/>
                <w:color w:val="000000"/>
                <w:sz w:val="24"/>
              </w:rPr>
              <w:t>报价文件规格</w:t>
            </w:r>
          </w:p>
        </w:tc>
        <w:tc>
          <w:tcPr>
            <w:tcW w:w="1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bCs/>
                <w:color w:val="000000"/>
                <w:sz w:val="24"/>
              </w:rPr>
            </w:pPr>
            <w:r>
              <w:rPr>
                <w:rFonts w:hint="eastAsia"/>
                <w:sz w:val="24"/>
                <w:highlight w:val="none"/>
              </w:rPr>
              <w:t>是否偏离</w:t>
            </w:r>
          </w:p>
        </w:tc>
        <w:tc>
          <w:tcPr>
            <w:tcW w:w="89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bCs/>
                <w:color w:val="000000"/>
                <w:sz w:val="24"/>
              </w:rPr>
            </w:pPr>
            <w:r>
              <w:rPr>
                <w:rFonts w:hint="eastAsia" w:ascii="宋体" w:hAnsi="宋体" w:cs="宋体"/>
                <w:bCs/>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9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89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9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89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9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89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9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89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9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89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9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89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9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89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9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c>
          <w:tcPr>
            <w:tcW w:w="89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宋体" w:hAnsi="宋体" w:cs="宋体"/>
                <w:color w:val="000000"/>
                <w:sz w:val="24"/>
              </w:rPr>
            </w:pPr>
          </w:p>
        </w:tc>
      </w:tr>
    </w:tbl>
    <w:p>
      <w:pPr>
        <w:rPr>
          <w:rFonts w:ascii="宋体" w:hAnsi="宋体" w:cs="宋体"/>
          <w:color w:val="000000"/>
          <w:sz w:val="24"/>
        </w:rPr>
      </w:pPr>
    </w:p>
    <w:p>
      <w:pPr>
        <w:pStyle w:val="8"/>
        <w:keepNext w:val="0"/>
        <w:keepLines w:val="0"/>
        <w:pageBreakBefore w:val="0"/>
        <w:widowControl w:val="0"/>
        <w:kinsoku w:val="0"/>
        <w:wordWrap/>
        <w:overflowPunct w:val="0"/>
        <w:topLinePunct w:val="0"/>
        <w:autoSpaceDE w:val="0"/>
        <w:autoSpaceDN w:val="0"/>
        <w:bidi w:val="0"/>
        <w:adjustRightInd w:val="0"/>
        <w:snapToGrid/>
        <w:spacing w:beforeLines="0" w:afterLines="0" w:line="480" w:lineRule="exact"/>
        <w:ind w:left="0" w:right="-119" w:rightChars="-54"/>
        <w:textAlignment w:val="auto"/>
        <w:rPr>
          <w:rFonts w:hint="eastAsia"/>
          <w:b w:val="0"/>
          <w:sz w:val="24"/>
          <w:highlight w:val="none"/>
        </w:rPr>
      </w:pPr>
      <w:r>
        <w:rPr>
          <w:rFonts w:hint="eastAsia"/>
          <w:sz w:val="24"/>
          <w:highlight w:val="none"/>
        </w:rPr>
        <w:t>说明：</w:t>
      </w:r>
      <w:r>
        <w:rPr>
          <w:rFonts w:hint="eastAsia"/>
          <w:spacing w:val="-7"/>
          <w:sz w:val="24"/>
          <w:highlight w:val="none"/>
        </w:rPr>
        <w:t xml:space="preserve"> </w:t>
      </w:r>
      <w:r>
        <w:rPr>
          <w:rFonts w:hint="eastAsia"/>
          <w:sz w:val="24"/>
          <w:highlight w:val="none"/>
        </w:rPr>
        <w:t>所</w:t>
      </w:r>
      <w:r>
        <w:rPr>
          <w:rFonts w:hint="eastAsia"/>
          <w:sz w:val="24"/>
          <w:szCs w:val="22"/>
          <w:highlight w:val="none"/>
        </w:rPr>
        <w:t>报服务要求偏离表</w:t>
      </w:r>
      <w:r>
        <w:rPr>
          <w:rFonts w:hint="eastAsia"/>
          <w:sz w:val="24"/>
          <w:highlight w:val="none"/>
        </w:rPr>
        <w:t>如果与磋商文件的要求存在</w:t>
      </w:r>
      <w:r>
        <w:rPr>
          <w:rFonts w:hint="eastAsia" w:ascii="仿宋" w:hAnsi="仿宋" w:eastAsia="仿宋"/>
          <w:sz w:val="24"/>
        </w:rPr>
        <w:t>偏离</w:t>
      </w:r>
      <w:r>
        <w:rPr>
          <w:rFonts w:hint="eastAsia"/>
          <w:sz w:val="24"/>
          <w:highlight w:val="none"/>
        </w:rPr>
        <w:t>，均应如实填写上表。如有</w:t>
      </w:r>
      <w:r>
        <w:rPr>
          <w:rFonts w:hint="eastAsia" w:ascii="仿宋" w:hAnsi="仿宋" w:eastAsia="仿宋"/>
          <w:sz w:val="24"/>
        </w:rPr>
        <w:t>偏离</w:t>
      </w:r>
      <w:r>
        <w:rPr>
          <w:rFonts w:hint="eastAsia"/>
          <w:sz w:val="24"/>
          <w:highlight w:val="none"/>
        </w:rPr>
        <w:t>请在本表中说明，无</w:t>
      </w:r>
      <w:r>
        <w:rPr>
          <w:rFonts w:hint="eastAsia" w:ascii="仿宋" w:hAnsi="仿宋" w:eastAsia="仿宋"/>
          <w:sz w:val="24"/>
        </w:rPr>
        <w:t>偏离</w:t>
      </w:r>
      <w:r>
        <w:rPr>
          <w:rFonts w:hint="eastAsia"/>
          <w:sz w:val="24"/>
          <w:highlight w:val="none"/>
        </w:rPr>
        <w:t>的请在“是否偏离”填写“无</w:t>
      </w:r>
      <w:r>
        <w:rPr>
          <w:rFonts w:hint="eastAsia" w:ascii="仿宋" w:hAnsi="仿宋" w:eastAsia="仿宋"/>
          <w:sz w:val="24"/>
        </w:rPr>
        <w:t>偏离</w:t>
      </w:r>
      <w:r>
        <w:rPr>
          <w:rFonts w:hint="eastAsia"/>
          <w:sz w:val="24"/>
          <w:highlight w:val="none"/>
        </w:rPr>
        <w:t>”。</w:t>
      </w:r>
    </w:p>
    <w:p>
      <w:pPr>
        <w:pStyle w:val="9"/>
        <w:spacing w:before="0" w:after="0"/>
        <w:ind w:right="240"/>
        <w:jc w:val="right"/>
        <w:rPr>
          <w:rFonts w:hint="eastAsia" w:ascii="宋体" w:hAnsi="宋体" w:eastAsia="宋体" w:cs="宋体"/>
          <w:color w:val="000000"/>
          <w:sz w:val="24"/>
          <w:szCs w:val="24"/>
        </w:rPr>
      </w:pPr>
    </w:p>
    <w:p>
      <w:pPr>
        <w:pStyle w:val="9"/>
        <w:spacing w:before="0" w:after="0"/>
        <w:ind w:right="240"/>
        <w:jc w:val="right"/>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pStyle w:val="4"/>
        <w:rPr>
          <w:rFonts w:ascii="宋体" w:hAnsi="宋体" w:eastAsia="宋体" w:cs="宋体"/>
          <w:color w:val="000000"/>
          <w:sz w:val="24"/>
          <w:szCs w:val="24"/>
        </w:rPr>
      </w:pPr>
      <w:bookmarkStart w:id="24" w:name="_Toc414536014"/>
      <w:bookmarkStart w:id="25" w:name="_Toc285809546"/>
      <w:bookmarkStart w:id="26" w:name="_Toc402948235"/>
      <w:bookmarkStart w:id="27" w:name="_Toc29115"/>
    </w:p>
    <w:p>
      <w:pPr>
        <w:rPr>
          <w:rFonts w:ascii="宋体" w:hAnsi="宋体" w:eastAsia="宋体" w:cs="宋体"/>
          <w:color w:val="000000"/>
          <w:sz w:val="24"/>
          <w:szCs w:val="24"/>
        </w:rPr>
      </w:pPr>
      <w:r>
        <w:rPr>
          <w:rFonts w:hint="eastAsia" w:ascii="宋体" w:hAnsi="宋体" w:eastAsia="宋体" w:cs="宋体"/>
          <w:color w:val="000000"/>
          <w:sz w:val="24"/>
          <w:szCs w:val="24"/>
        </w:rPr>
        <w:br w:type="page"/>
      </w:r>
    </w:p>
    <w:p/>
    <w:p>
      <w:pPr>
        <w:pStyle w:val="4"/>
        <w:rPr>
          <w:rFonts w:ascii="宋体" w:hAnsi="宋体" w:eastAsia="宋体" w:cs="宋体"/>
          <w:color w:val="000000"/>
          <w:sz w:val="24"/>
          <w:szCs w:val="24"/>
        </w:rPr>
      </w:pPr>
    </w:p>
    <w:bookmarkEnd w:id="24"/>
    <w:bookmarkEnd w:id="25"/>
    <w:bookmarkEnd w:id="26"/>
    <w:bookmarkEnd w:id="27"/>
    <w:p>
      <w:pPr>
        <w:pStyle w:val="7"/>
        <w:kinsoku w:val="0"/>
        <w:overflowPunct w:val="0"/>
        <w:spacing w:line="357" w:lineRule="exact"/>
        <w:ind w:right="55"/>
        <w:rPr>
          <w:b/>
          <w:bCs/>
          <w:sz w:val="28"/>
        </w:rPr>
      </w:pPr>
      <w:r>
        <w:rPr>
          <w:rFonts w:hint="eastAsia"/>
          <w:b/>
          <w:bCs/>
          <w:sz w:val="28"/>
        </w:rPr>
        <w:t>附件</w:t>
      </w:r>
      <w:r>
        <w:rPr>
          <w:rFonts w:hint="eastAsia"/>
          <w:b/>
          <w:bCs/>
          <w:sz w:val="28"/>
          <w:lang w:val="en-US" w:eastAsia="zh-CN"/>
        </w:rPr>
        <w:t>八</w:t>
      </w:r>
      <w:r>
        <w:rPr>
          <w:rFonts w:hint="eastAsia"/>
          <w:b/>
          <w:bCs/>
          <w:sz w:val="28"/>
        </w:rPr>
        <w:t>：</w:t>
      </w:r>
    </w:p>
    <w:p>
      <w:pPr>
        <w:pStyle w:val="7"/>
        <w:kinsoku w:val="0"/>
        <w:overflowPunct w:val="0"/>
        <w:spacing w:line="357" w:lineRule="exact"/>
        <w:ind w:right="55"/>
        <w:rPr>
          <w:sz w:val="28"/>
        </w:rPr>
      </w:pPr>
    </w:p>
    <w:p>
      <w:pPr>
        <w:pStyle w:val="7"/>
        <w:kinsoku w:val="0"/>
        <w:overflowPunct w:val="0"/>
        <w:spacing w:line="357" w:lineRule="exact"/>
        <w:ind w:right="55"/>
        <w:jc w:val="center"/>
        <w:rPr>
          <w:sz w:val="28"/>
        </w:rPr>
      </w:pPr>
      <w:r>
        <w:rPr>
          <w:rFonts w:hint="eastAsia"/>
          <w:sz w:val="28"/>
        </w:rPr>
        <w:t>无违规违法声明</w:t>
      </w:r>
    </w:p>
    <w:p>
      <w:pPr>
        <w:pStyle w:val="11"/>
        <w:kinsoku w:val="0"/>
        <w:overflowPunct w:val="0"/>
        <w:rPr>
          <w:b/>
          <w:sz w:val="28"/>
        </w:rPr>
      </w:pPr>
    </w:p>
    <w:p>
      <w:pPr>
        <w:pStyle w:val="11"/>
        <w:kinsoku w:val="0"/>
        <w:overflowPunct w:val="0"/>
        <w:rPr>
          <w:b/>
          <w:sz w:val="20"/>
        </w:rPr>
      </w:pPr>
    </w:p>
    <w:p>
      <w:pPr>
        <w:pStyle w:val="11"/>
        <w:kinsoku w:val="0"/>
        <w:overflowPunct w:val="0"/>
        <w:ind w:right="55"/>
      </w:pPr>
      <w:r>
        <w:rPr>
          <w:rFonts w:hint="eastAsia"/>
        </w:rPr>
        <w:t>致</w:t>
      </w:r>
      <w:r>
        <w:rPr>
          <w:rFonts w:hint="eastAsia"/>
          <w:lang w:val="en-US" w:eastAsia="zh-CN"/>
        </w:rPr>
        <w:t>山东三誉招标代理有限公司</w:t>
      </w:r>
      <w:r>
        <w:rPr>
          <w:rFonts w:hint="eastAsia"/>
        </w:rPr>
        <w:t>：</w:t>
      </w:r>
    </w:p>
    <w:p>
      <w:pPr>
        <w:pStyle w:val="11"/>
        <w:kinsoku w:val="0"/>
        <w:overflowPunct w:val="0"/>
        <w:rPr>
          <w:sz w:val="20"/>
        </w:rPr>
      </w:pPr>
    </w:p>
    <w:p>
      <w:pPr>
        <w:pStyle w:val="11"/>
        <w:kinsoku w:val="0"/>
        <w:overflowPunct w:val="0"/>
        <w:spacing w:line="441" w:lineRule="auto"/>
        <w:ind w:left="1072" w:right="775" w:hanging="600"/>
        <w:rPr>
          <w:lang w:val="en-US" w:eastAsia="zh-CN"/>
        </w:rPr>
      </w:pPr>
      <w:r>
        <w:rPr>
          <w:rFonts w:hint="eastAsia"/>
        </w:rPr>
        <w:t>我方在参加采购活动前3年内，在经营活动中没有重大违法记录</w:t>
      </w:r>
      <w:r>
        <w:rPr>
          <w:rFonts w:hint="eastAsia"/>
          <w:position w:val="12"/>
          <w:sz w:val="12"/>
        </w:rPr>
        <w:t>①</w:t>
      </w:r>
      <w:r>
        <w:rPr>
          <w:rFonts w:hint="eastAsia"/>
        </w:rPr>
        <w:t xml:space="preserve">。 </w:t>
      </w:r>
    </w:p>
    <w:p>
      <w:pPr>
        <w:pStyle w:val="11"/>
        <w:kinsoku w:val="0"/>
        <w:overflowPunct w:val="0"/>
        <w:spacing w:line="441" w:lineRule="auto"/>
        <w:ind w:left="1072" w:right="775" w:hanging="600"/>
      </w:pPr>
      <w:r>
        <w:rPr>
          <w:rFonts w:hint="eastAsia"/>
        </w:rPr>
        <w:t>特此声明。</w:t>
      </w:r>
    </w:p>
    <w:p>
      <w:pPr>
        <w:pStyle w:val="11"/>
        <w:kinsoku w:val="0"/>
        <w:overflowPunct w:val="0"/>
        <w:ind w:right="55" w:firstLine="480"/>
        <w:rPr>
          <w:spacing w:val="-3"/>
        </w:rPr>
      </w:pPr>
      <w:r>
        <w:rPr>
          <w:rFonts w:hint="eastAsia"/>
          <w:spacing w:val="-3"/>
        </w:rPr>
        <w:t>如果以上声明不真实，我方全部承担虚假响应（投标）的责任，并接受依法施行的处罚。</w:t>
      </w:r>
    </w:p>
    <w:p>
      <w:pPr>
        <w:pStyle w:val="11"/>
        <w:kinsoku w:val="0"/>
        <w:overflowPunct w:val="0"/>
      </w:pPr>
    </w:p>
    <w:p>
      <w:pPr>
        <w:pStyle w:val="11"/>
        <w:kinsoku w:val="0"/>
        <w:overflowPunct w:val="0"/>
      </w:pPr>
    </w:p>
    <w:p>
      <w:pPr>
        <w:pStyle w:val="11"/>
        <w:kinsoku w:val="0"/>
        <w:overflowPunct w:val="0"/>
      </w:pPr>
    </w:p>
    <w:p>
      <w:pPr>
        <w:pStyle w:val="11"/>
        <w:kinsoku w:val="0"/>
        <w:overflowPunct w:val="0"/>
      </w:pPr>
    </w:p>
    <w:p>
      <w:pPr>
        <w:pStyle w:val="11"/>
        <w:kinsoku w:val="0"/>
        <w:overflowPunct w:val="0"/>
      </w:pPr>
    </w:p>
    <w:p>
      <w:pPr>
        <w:pStyle w:val="11"/>
        <w:kinsoku w:val="0"/>
        <w:overflowPunct w:val="0"/>
        <w:rPr>
          <w:sz w:val="33"/>
        </w:rPr>
      </w:pPr>
    </w:p>
    <w:p>
      <w:pPr>
        <w:pStyle w:val="11"/>
        <w:tabs>
          <w:tab w:val="left" w:pos="6232"/>
        </w:tabs>
        <w:kinsoku w:val="0"/>
        <w:overflowPunct w:val="0"/>
        <w:ind w:right="55"/>
      </w:pPr>
      <w:r>
        <w:rPr>
          <w:rFonts w:hint="eastAsia"/>
        </w:rPr>
        <w:t>供应商（供应商）全称：</w:t>
      </w:r>
      <w:r>
        <w:rPr>
          <w:rFonts w:hint="eastAsia"/>
        </w:rPr>
        <w:tab/>
      </w:r>
      <w:r>
        <w:rPr>
          <w:rFonts w:hint="eastAsia"/>
        </w:rPr>
        <w:t>（盖单位公章）</w:t>
      </w:r>
    </w:p>
    <w:p>
      <w:pPr>
        <w:pStyle w:val="11"/>
        <w:kinsoku w:val="0"/>
        <w:overflowPunct w:val="0"/>
        <w:rPr>
          <w:sz w:val="20"/>
        </w:rPr>
      </w:pPr>
    </w:p>
    <w:p>
      <w:pPr>
        <w:pStyle w:val="11"/>
        <w:tabs>
          <w:tab w:val="left" w:pos="7552"/>
          <w:tab w:val="left" w:pos="8032"/>
        </w:tabs>
        <w:kinsoku w:val="0"/>
        <w:overflowPunct w:val="0"/>
        <w:ind w:right="55" w:firstLine="6960"/>
      </w:pPr>
      <w:r>
        <w:rPr>
          <w:rFonts w:hint="eastAsia"/>
        </w:rPr>
        <w:t>年</w:t>
      </w:r>
      <w:r>
        <w:rPr>
          <w:rFonts w:hint="eastAsia"/>
        </w:rPr>
        <w:tab/>
      </w:r>
      <w:r>
        <w:rPr>
          <w:rFonts w:hint="eastAsia"/>
        </w:rPr>
        <w:t>月</w:t>
      </w:r>
      <w:r>
        <w:rPr>
          <w:rFonts w:hint="eastAsia"/>
        </w:rPr>
        <w:tab/>
      </w:r>
      <w:r>
        <w:rPr>
          <w:rFonts w:hint="eastAsia"/>
        </w:rPr>
        <w:t>日</w:t>
      </w:r>
    </w:p>
    <w:p>
      <w:pPr>
        <w:pStyle w:val="11"/>
        <w:kinsoku w:val="0"/>
        <w:overflowPunct w:val="0"/>
      </w:pPr>
    </w:p>
    <w:p>
      <w:pPr>
        <w:pStyle w:val="11"/>
        <w:kinsoku w:val="0"/>
        <w:overflowPunct w:val="0"/>
      </w:pPr>
    </w:p>
    <w:p>
      <w:pPr>
        <w:pStyle w:val="11"/>
        <w:kinsoku w:val="0"/>
        <w:overflowPunct w:val="0"/>
        <w:rPr>
          <w:sz w:val="16"/>
        </w:rPr>
      </w:pPr>
    </w:p>
    <w:p>
      <w:pPr>
        <w:pStyle w:val="11"/>
        <w:kinsoku w:val="0"/>
        <w:overflowPunct w:val="0"/>
        <w:spacing w:line="441" w:lineRule="auto"/>
        <w:ind w:right="55"/>
      </w:pPr>
      <w:r>
        <w:rPr>
          <w:rFonts w:hint="eastAsia"/>
          <w:spacing w:val="-2"/>
        </w:rPr>
        <w:t>注：</w:t>
      </w:r>
      <w:r>
        <w:rPr>
          <w:rFonts w:hint="eastAsia"/>
          <w:spacing w:val="-2"/>
          <w:position w:val="12"/>
          <w:sz w:val="12"/>
        </w:rPr>
        <w:t>①</w:t>
      </w:r>
      <w:r>
        <w:rPr>
          <w:rFonts w:hint="eastAsia"/>
          <w:spacing w:val="-2"/>
        </w:rPr>
        <w:t>重大违法记录，是指供应商因违法经营受到刑事处罚或者责令停产停业、吊销许可证或</w:t>
      </w:r>
      <w:r>
        <w:rPr>
          <w:rFonts w:hint="eastAsia"/>
        </w:rPr>
        <w:t>者执照、较大数额罚款等行政处罚。</w:t>
      </w:r>
    </w:p>
    <w:p>
      <w:pPr>
        <w:pStyle w:val="11"/>
        <w:kinsoku w:val="0"/>
        <w:overflowPunct w:val="0"/>
        <w:spacing w:line="444" w:lineRule="auto"/>
        <w:ind w:right="55" w:firstLine="494"/>
      </w:pPr>
      <w:r>
        <w:rPr>
          <w:rFonts w:hint="eastAsia"/>
          <w:spacing w:val="6"/>
        </w:rPr>
        <w:t>供应商在参加采购活动前</w:t>
      </w:r>
      <w:r>
        <w:rPr>
          <w:rFonts w:hint="eastAsia"/>
        </w:rPr>
        <w:t>3</w:t>
      </w:r>
      <w:r>
        <w:rPr>
          <w:rFonts w:hint="eastAsia"/>
          <w:spacing w:val="6"/>
        </w:rPr>
        <w:t>年内因违法经营被禁止在一定期限内参加采购活</w:t>
      </w:r>
      <w:r>
        <w:rPr>
          <w:rFonts w:hint="eastAsia"/>
        </w:rPr>
        <w:t>动，期限届满的，可以参加采购活动。</w:t>
      </w:r>
    </w:p>
    <w:p>
      <w:pPr>
        <w:pStyle w:val="4"/>
        <w:jc w:val="left"/>
        <w:rPr>
          <w:rFonts w:ascii="宋体" w:hAnsi="宋体" w:eastAsia="宋体" w:cs="宋体"/>
          <w:b/>
          <w:bCs/>
          <w:color w:val="000000"/>
          <w:sz w:val="28"/>
          <w:szCs w:val="28"/>
        </w:rPr>
      </w:pPr>
      <w:r>
        <w:rPr>
          <w:rFonts w:hint="eastAsia" w:ascii="宋体" w:hAnsi="宋体" w:eastAsia="宋体" w:cs="宋体"/>
          <w:color w:val="000000"/>
          <w:sz w:val="24"/>
          <w:szCs w:val="24"/>
        </w:rPr>
        <w:br w:type="page"/>
      </w:r>
      <w:bookmarkStart w:id="28" w:name="_Toc26443"/>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val="en-US" w:eastAsia="zh-CN"/>
        </w:rPr>
        <w:t>九</w:t>
      </w:r>
      <w:r>
        <w:rPr>
          <w:rFonts w:hint="eastAsia" w:ascii="宋体" w:hAnsi="宋体" w:eastAsia="宋体" w:cs="宋体"/>
          <w:b/>
          <w:bCs/>
          <w:color w:val="000000"/>
          <w:sz w:val="28"/>
          <w:szCs w:val="28"/>
        </w:rPr>
        <w:t>：</w:t>
      </w:r>
      <w:bookmarkEnd w:id="28"/>
    </w:p>
    <w:p>
      <w:pPr>
        <w:jc w:val="center"/>
        <w:rPr>
          <w:rFonts w:hint="eastAsia" w:ascii="仿宋" w:hAnsi="仿宋" w:eastAsia="仿宋" w:cs="仿宋"/>
          <w:b/>
          <w:bCs/>
        </w:rPr>
      </w:pPr>
      <w:bookmarkStart w:id="29" w:name="_Toc29083"/>
      <w:r>
        <w:rPr>
          <w:rFonts w:hint="eastAsia" w:ascii="仿宋" w:hAnsi="仿宋" w:eastAsia="仿宋" w:cs="仿宋"/>
          <w:b/>
          <w:bCs/>
          <w:color w:val="000000"/>
          <w:sz w:val="28"/>
          <w:szCs w:val="28"/>
        </w:rPr>
        <w:t>封面格式</w:t>
      </w:r>
      <w:bookmarkEnd w:id="29"/>
    </w:p>
    <w:tbl>
      <w:tblPr>
        <w:tblStyle w:val="2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1"/>
        <w:gridCol w:w="5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661" w:type="dxa"/>
          </w:tcPr>
          <w:p>
            <w:pPr>
              <w:pStyle w:val="4"/>
              <w:rPr>
                <w:rFonts w:ascii="宋体" w:hAnsi="宋体" w:cs="宋体"/>
                <w:b/>
                <w:color w:val="000000"/>
                <w:sz w:val="30"/>
                <w:lang w:val="en-US" w:eastAsia="zh-CN"/>
              </w:rPr>
            </w:pPr>
            <w:r>
              <w:rPr>
                <w:rFonts w:hint="eastAsia" w:ascii="宋体" w:hAnsi="宋体" w:cs="宋体"/>
                <w:b/>
                <w:color w:val="000000"/>
                <w:sz w:val="30"/>
                <w:lang w:val="en-US" w:eastAsia="zh-CN"/>
              </w:rPr>
              <w:t>响应文件</w:t>
            </w:r>
          </w:p>
          <w:p>
            <w:pPr>
              <w:pStyle w:val="13"/>
              <w:spacing w:line="240" w:lineRule="auto"/>
              <w:ind w:left="0" w:leftChars="0" w:firstLine="0" w:firstLineChars="0"/>
              <w:rPr>
                <w:rFonts w:ascii="宋体" w:hAnsi="宋体" w:cs="宋体"/>
                <w:color w:val="000000"/>
                <w:sz w:val="30"/>
                <w:lang w:val="en-US" w:eastAsia="zh-CN"/>
              </w:rPr>
            </w:pPr>
            <w:r>
              <w:rPr>
                <w:rFonts w:hint="eastAsia" w:ascii="宋体" w:hAnsi="宋体" w:cs="宋体"/>
                <w:b/>
                <w:color w:val="000000"/>
                <w:sz w:val="30"/>
                <w:lang w:val="en-US" w:eastAsia="zh-CN"/>
              </w:rPr>
              <w:t>（正本）</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项目编号：</w:t>
            </w:r>
          </w:p>
          <w:p>
            <w:pPr>
              <w:pStyle w:val="13"/>
              <w:spacing w:line="240" w:lineRule="auto"/>
              <w:ind w:left="0" w:leftChars="0" w:firstLine="0" w:firstLineChars="0"/>
              <w:rPr>
                <w:rFonts w:ascii="宋体" w:hAnsi="宋体" w:cs="宋体"/>
                <w:color w:val="000000"/>
                <w:u w:val="single"/>
                <w:lang w:val="en-US" w:eastAsia="zh-CN"/>
              </w:rPr>
            </w:pPr>
            <w:r>
              <w:rPr>
                <w:rFonts w:hint="eastAsia" w:ascii="宋体" w:hAnsi="宋体" w:cs="宋体"/>
                <w:color w:val="000000"/>
                <w:lang w:val="en-US" w:eastAsia="zh-CN"/>
              </w:rPr>
              <w:t>项目名称：</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供应商名称（公章）：</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地址：</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邮编：</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电话：</w:t>
            </w:r>
          </w:p>
          <w:p>
            <w:pPr>
              <w:pStyle w:val="13"/>
              <w:spacing w:line="240" w:lineRule="auto"/>
              <w:ind w:left="1586" w:leftChars="0" w:hanging="1586" w:hangingChars="661"/>
              <w:rPr>
                <w:rFonts w:ascii="宋体" w:hAnsi="宋体" w:cs="宋体"/>
                <w:color w:val="000000"/>
                <w:lang w:val="en-US" w:eastAsia="zh-CN"/>
              </w:rPr>
            </w:pPr>
            <w:r>
              <w:rPr>
                <w:rFonts w:hint="eastAsia" w:ascii="宋体" w:hAnsi="宋体" w:cs="宋体"/>
                <w:color w:val="000000"/>
                <w:lang w:val="en-US" w:eastAsia="zh-CN"/>
              </w:rPr>
              <w:t>传真：</w:t>
            </w:r>
          </w:p>
        </w:tc>
        <w:tc>
          <w:tcPr>
            <w:tcW w:w="5194" w:type="dxa"/>
          </w:tcPr>
          <w:p>
            <w:pPr>
              <w:pStyle w:val="13"/>
              <w:spacing w:line="240" w:lineRule="auto"/>
              <w:ind w:left="0" w:leftChars="0" w:firstLine="0" w:firstLineChars="0"/>
              <w:jc w:val="center"/>
              <w:rPr>
                <w:rFonts w:ascii="宋体" w:hAnsi="宋体" w:cs="宋体"/>
                <w:b/>
                <w:color w:val="000000"/>
                <w:sz w:val="30"/>
                <w:lang w:val="en-US" w:eastAsia="zh-CN"/>
              </w:rPr>
            </w:pPr>
            <w:r>
              <w:rPr>
                <w:rFonts w:hint="eastAsia" w:ascii="宋体" w:hAnsi="宋体" w:cs="宋体"/>
                <w:b/>
                <w:color w:val="000000"/>
                <w:sz w:val="30"/>
                <w:lang w:val="en-US" w:eastAsia="zh-CN"/>
              </w:rPr>
              <w:t>响应文件</w:t>
            </w:r>
          </w:p>
          <w:p>
            <w:pPr>
              <w:pStyle w:val="13"/>
              <w:spacing w:line="240" w:lineRule="auto"/>
              <w:ind w:left="0" w:leftChars="0" w:firstLine="0" w:firstLineChars="0"/>
              <w:rPr>
                <w:rFonts w:ascii="宋体" w:hAnsi="宋体" w:cs="宋体"/>
                <w:color w:val="000000"/>
                <w:sz w:val="30"/>
                <w:lang w:val="en-US" w:eastAsia="zh-CN"/>
              </w:rPr>
            </w:pPr>
            <w:r>
              <w:rPr>
                <w:rFonts w:hint="eastAsia" w:ascii="宋体" w:hAnsi="宋体" w:cs="宋体"/>
                <w:b/>
                <w:color w:val="000000"/>
                <w:sz w:val="30"/>
                <w:lang w:val="en-US" w:eastAsia="zh-CN"/>
              </w:rPr>
              <w:t>（副本）</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项目编号：</w:t>
            </w:r>
          </w:p>
          <w:p>
            <w:pPr>
              <w:pStyle w:val="13"/>
              <w:spacing w:line="240" w:lineRule="auto"/>
              <w:ind w:left="0" w:leftChars="0" w:firstLine="0" w:firstLineChars="0"/>
              <w:rPr>
                <w:rFonts w:ascii="宋体" w:hAnsi="宋体" w:cs="宋体"/>
                <w:color w:val="000000"/>
                <w:u w:val="single"/>
                <w:lang w:val="en-US" w:eastAsia="zh-CN"/>
              </w:rPr>
            </w:pPr>
            <w:r>
              <w:rPr>
                <w:rFonts w:hint="eastAsia" w:ascii="宋体" w:hAnsi="宋体" w:cs="宋体"/>
                <w:color w:val="000000"/>
                <w:lang w:val="en-US" w:eastAsia="zh-CN"/>
              </w:rPr>
              <w:t>项目名称：</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供应商名称（公章）：</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地址：</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邮编：</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电话：</w:t>
            </w:r>
          </w:p>
          <w:p>
            <w:pPr>
              <w:pStyle w:val="13"/>
              <w:spacing w:line="240" w:lineRule="auto"/>
              <w:ind w:left="1586" w:leftChars="0" w:hanging="1586" w:hangingChars="661"/>
              <w:rPr>
                <w:rFonts w:ascii="宋体" w:hAnsi="宋体" w:cs="宋体"/>
                <w:color w:val="000000"/>
                <w:lang w:val="en-US" w:eastAsia="zh-CN"/>
              </w:rPr>
            </w:pPr>
            <w:r>
              <w:rPr>
                <w:rFonts w:hint="eastAsia" w:ascii="宋体" w:hAnsi="宋体" w:cs="宋体"/>
                <w:color w:val="000000"/>
                <w:lang w:val="en-US" w:eastAsia="zh-CN"/>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661" w:type="dxa"/>
          </w:tcPr>
          <w:p>
            <w:pPr>
              <w:pStyle w:val="13"/>
              <w:spacing w:line="240" w:lineRule="auto"/>
              <w:ind w:left="0" w:leftChars="0" w:firstLine="0" w:firstLineChars="0"/>
              <w:jc w:val="center"/>
              <w:rPr>
                <w:rFonts w:ascii="宋体" w:hAnsi="宋体" w:cs="宋体"/>
                <w:b/>
                <w:color w:val="000000"/>
                <w:sz w:val="30"/>
                <w:lang w:val="en-US" w:eastAsia="zh-CN"/>
              </w:rPr>
            </w:pPr>
            <w:r>
              <w:rPr>
                <w:rFonts w:hint="eastAsia" w:ascii="宋体" w:hAnsi="宋体" w:cs="宋体"/>
                <w:b/>
                <w:color w:val="000000"/>
                <w:sz w:val="30"/>
                <w:lang w:val="en-US" w:eastAsia="zh-CN"/>
              </w:rPr>
              <w:t>电子文档</w:t>
            </w:r>
          </w:p>
          <w:p>
            <w:pPr>
              <w:pStyle w:val="13"/>
              <w:spacing w:line="240" w:lineRule="auto"/>
              <w:ind w:left="0" w:leftChars="0" w:firstLine="0" w:firstLineChars="0"/>
              <w:rPr>
                <w:rFonts w:ascii="宋体" w:hAnsi="宋体" w:cs="宋体"/>
                <w:color w:val="000000"/>
                <w:sz w:val="30"/>
                <w:lang w:val="en-US" w:eastAsia="zh-CN"/>
              </w:rPr>
            </w:pP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项目编号：</w:t>
            </w:r>
          </w:p>
          <w:p>
            <w:pPr>
              <w:pStyle w:val="13"/>
              <w:spacing w:line="240" w:lineRule="auto"/>
              <w:ind w:left="0" w:leftChars="0" w:firstLine="0" w:firstLineChars="0"/>
              <w:rPr>
                <w:rFonts w:ascii="宋体" w:hAnsi="宋体" w:cs="宋体"/>
                <w:color w:val="000000"/>
                <w:u w:val="single"/>
                <w:lang w:val="en-US" w:eastAsia="zh-CN"/>
              </w:rPr>
            </w:pPr>
            <w:r>
              <w:rPr>
                <w:rFonts w:hint="eastAsia" w:ascii="宋体" w:hAnsi="宋体" w:cs="宋体"/>
                <w:color w:val="000000"/>
                <w:lang w:val="en-US" w:eastAsia="zh-CN"/>
              </w:rPr>
              <w:t>项目名称：</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供应商名称（公章）：</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地址：</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邮编：</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电话：</w:t>
            </w:r>
          </w:p>
          <w:p>
            <w:pPr>
              <w:pStyle w:val="13"/>
              <w:spacing w:line="240" w:lineRule="auto"/>
              <w:ind w:left="0" w:leftChars="0" w:firstLine="0" w:firstLineChars="0"/>
              <w:rPr>
                <w:rFonts w:ascii="宋体" w:hAnsi="宋体" w:cs="宋体"/>
                <w:b/>
                <w:color w:val="000000"/>
                <w:sz w:val="30"/>
                <w:lang w:val="en-US" w:eastAsia="zh-CN"/>
              </w:rPr>
            </w:pPr>
            <w:r>
              <w:rPr>
                <w:rFonts w:hint="eastAsia" w:ascii="宋体" w:hAnsi="宋体" w:cs="宋体"/>
                <w:color w:val="000000"/>
                <w:lang w:val="en-US" w:eastAsia="zh-CN"/>
              </w:rPr>
              <w:t>传真：</w:t>
            </w:r>
          </w:p>
        </w:tc>
        <w:tc>
          <w:tcPr>
            <w:tcW w:w="5194" w:type="dxa"/>
          </w:tcPr>
          <w:p>
            <w:pPr>
              <w:pStyle w:val="13"/>
              <w:spacing w:line="240" w:lineRule="auto"/>
              <w:ind w:left="0" w:leftChars="0" w:firstLine="0" w:firstLineChars="0"/>
              <w:jc w:val="center"/>
              <w:rPr>
                <w:rFonts w:ascii="宋体" w:hAnsi="宋体" w:cs="宋体"/>
                <w:b/>
                <w:color w:val="000000"/>
                <w:sz w:val="30"/>
                <w:lang w:val="en-US" w:eastAsia="zh-CN"/>
              </w:rPr>
            </w:pPr>
            <w:r>
              <w:rPr>
                <w:rFonts w:hint="eastAsia" w:ascii="宋体" w:hAnsi="宋体" w:cs="宋体"/>
                <w:b/>
                <w:color w:val="000000"/>
                <w:sz w:val="30"/>
                <w:lang w:val="en-US" w:eastAsia="zh-CN"/>
              </w:rPr>
              <w:t>报价单</w:t>
            </w:r>
          </w:p>
          <w:p>
            <w:pPr>
              <w:pStyle w:val="13"/>
              <w:spacing w:line="240" w:lineRule="auto"/>
              <w:ind w:left="0" w:leftChars="0" w:firstLine="0" w:firstLineChars="0"/>
              <w:rPr>
                <w:rFonts w:ascii="宋体" w:hAnsi="宋体" w:cs="宋体"/>
                <w:color w:val="000000"/>
                <w:lang w:val="en-US" w:eastAsia="zh-CN"/>
              </w:rPr>
            </w:pP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项目编号：</w:t>
            </w:r>
          </w:p>
          <w:p>
            <w:pPr>
              <w:pStyle w:val="13"/>
              <w:spacing w:line="240" w:lineRule="auto"/>
              <w:ind w:left="0" w:leftChars="0" w:firstLine="0" w:firstLineChars="0"/>
              <w:rPr>
                <w:rFonts w:ascii="宋体" w:hAnsi="宋体" w:cs="宋体"/>
                <w:color w:val="000000"/>
                <w:u w:val="single"/>
                <w:lang w:val="en-US" w:eastAsia="zh-CN"/>
              </w:rPr>
            </w:pPr>
            <w:r>
              <w:rPr>
                <w:rFonts w:hint="eastAsia" w:ascii="宋体" w:hAnsi="宋体" w:cs="宋体"/>
                <w:color w:val="000000"/>
                <w:lang w:val="en-US" w:eastAsia="zh-CN"/>
              </w:rPr>
              <w:t>项目名称：</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供应商名称（公章）：</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地址：</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邮编：</w:t>
            </w:r>
          </w:p>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电话：</w:t>
            </w:r>
          </w:p>
          <w:p>
            <w:pPr>
              <w:pStyle w:val="13"/>
              <w:spacing w:line="240" w:lineRule="auto"/>
              <w:ind w:left="0" w:leftChars="0" w:firstLine="0" w:firstLineChars="0"/>
              <w:rPr>
                <w:rFonts w:ascii="宋体" w:hAnsi="宋体" w:cs="宋体"/>
                <w:b/>
                <w:color w:val="000000"/>
                <w:sz w:val="30"/>
                <w:lang w:val="en-US" w:eastAsia="zh-CN"/>
              </w:rPr>
            </w:pPr>
            <w:r>
              <w:rPr>
                <w:rFonts w:hint="eastAsia" w:ascii="宋体" w:hAnsi="宋体" w:cs="宋体"/>
                <w:color w:val="000000"/>
                <w:lang w:val="en-US" w:eastAsia="zh-CN"/>
              </w:rPr>
              <w:t>传真：</w:t>
            </w:r>
          </w:p>
        </w:tc>
      </w:tr>
    </w:tbl>
    <w:p>
      <w:pPr>
        <w:pStyle w:val="13"/>
        <w:spacing w:line="240" w:lineRule="auto"/>
        <w:ind w:left="0" w:leftChars="0" w:firstLine="0" w:firstLineChars="0"/>
        <w:jc w:val="center"/>
        <w:rPr>
          <w:rFonts w:ascii="宋体" w:hAnsi="宋体" w:cs="宋体"/>
          <w:b/>
          <w:bCs/>
          <w:color w:val="000000"/>
          <w:sz w:val="32"/>
        </w:rPr>
      </w:pPr>
      <w:r>
        <w:rPr>
          <w:rFonts w:hint="eastAsia" w:ascii="宋体" w:hAnsi="宋体" w:cs="宋体"/>
          <w:b/>
          <w:bCs/>
          <w:color w:val="000000"/>
          <w:sz w:val="32"/>
        </w:rPr>
        <w:t>封口格式：</w:t>
      </w:r>
    </w:p>
    <w:tbl>
      <w:tblPr>
        <w:tblStyle w:val="2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55" w:type="dxa"/>
            <w:tcBorders>
              <w:bottom w:val="single" w:color="auto" w:sz="4" w:space="0"/>
            </w:tcBorders>
            <w:vAlign w:val="center"/>
          </w:tcPr>
          <w:p>
            <w:pPr>
              <w:pStyle w:val="13"/>
              <w:spacing w:line="240" w:lineRule="auto"/>
              <w:ind w:left="0" w:leftChars="0" w:firstLine="0" w:firstLineChars="0"/>
              <w:rPr>
                <w:rFonts w:ascii="宋体" w:hAnsi="宋体" w:cs="宋体"/>
                <w:color w:val="000000"/>
                <w:lang w:val="en-US" w:eastAsia="zh-CN"/>
              </w:rPr>
            </w:pPr>
            <w:r>
              <w:rPr>
                <w:rFonts w:hint="eastAsia" w:ascii="宋体" w:hAnsi="宋体" w:cs="宋体"/>
                <w:color w:val="000000"/>
                <w:lang w:val="en-US" w:eastAsia="zh-CN"/>
              </w:rPr>
              <w:t>………………………于   年  月  日   时之前不准启封（公章）………………………</w:t>
            </w:r>
          </w:p>
        </w:tc>
      </w:tr>
    </w:tbl>
    <w:p/>
    <w:p>
      <w:pPr>
        <w:pStyle w:val="3"/>
        <w:spacing w:line="240" w:lineRule="auto"/>
        <w:jc w:val="center"/>
        <w:rPr>
          <w:rFonts w:ascii="宋体" w:hAnsi="宋体" w:cs="宋体"/>
          <w:color w:val="000000"/>
          <w:sz w:val="30"/>
          <w:szCs w:val="30"/>
        </w:rPr>
      </w:pPr>
      <w:r>
        <w:rPr>
          <w:rFonts w:hint="eastAsia" w:ascii="宋体" w:hAnsi="宋体" w:cs="宋体"/>
          <w:color w:val="000000"/>
        </w:rPr>
        <w:br w:type="page"/>
      </w:r>
      <w:bookmarkStart w:id="30" w:name="_Toc21922"/>
      <w:bookmarkStart w:id="31" w:name="_Toc13941"/>
      <w:r>
        <w:rPr>
          <w:rFonts w:hint="eastAsia" w:ascii="宋体" w:hAnsi="宋体" w:cs="宋体"/>
          <w:color w:val="000000"/>
          <w:sz w:val="30"/>
          <w:szCs w:val="30"/>
          <w:highlight w:val="none"/>
        </w:rPr>
        <w:t>第六部分 评标细则</w:t>
      </w:r>
      <w:bookmarkEnd w:id="30"/>
      <w:bookmarkEnd w:id="31"/>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861"/>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45"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评分因素</w:t>
            </w:r>
          </w:p>
        </w:tc>
        <w:tc>
          <w:tcPr>
            <w:tcW w:w="934"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评分点</w:t>
            </w:r>
          </w:p>
        </w:tc>
        <w:tc>
          <w:tcPr>
            <w:tcW w:w="3619"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45"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报价分</w:t>
            </w:r>
          </w:p>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70分</w:t>
            </w:r>
          </w:p>
        </w:tc>
        <w:tc>
          <w:tcPr>
            <w:tcW w:w="934"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3619" w:type="pct"/>
            <w:vAlign w:val="center"/>
          </w:tcPr>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jc w:val="both"/>
              <w:textAlignment w:val="auto"/>
              <w:rPr>
                <w:rFonts w:hint="eastAsia" w:ascii="仿宋" w:hAnsi="仿宋" w:eastAsia="仿宋" w:cs="仿宋"/>
                <w:sz w:val="24"/>
                <w:szCs w:val="24"/>
                <w:highlight w:val="none"/>
                <w:lang w:val="en-US" w:eastAsia="zh-CN" w:bidi="ja-JP"/>
              </w:rPr>
            </w:pPr>
            <w:r>
              <w:rPr>
                <w:rFonts w:hint="eastAsia" w:ascii="仿宋" w:hAnsi="仿宋" w:eastAsia="仿宋" w:cs="仿宋"/>
                <w:sz w:val="24"/>
                <w:szCs w:val="24"/>
                <w:highlight w:val="none"/>
                <w:lang w:val="en-US" w:eastAsia="zh-CN" w:bidi="ja-JP"/>
              </w:rPr>
              <w:t>投标报价得分采用低价优先法计算，即满足磋商文件要求且价格最低的投标报价为磋商基准价，其价格分为满分。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jc w:val="both"/>
              <w:textAlignment w:val="auto"/>
              <w:rPr>
                <w:rFonts w:hint="eastAsia" w:ascii="仿宋" w:hAnsi="仿宋" w:eastAsia="仿宋" w:cs="仿宋"/>
                <w:sz w:val="24"/>
                <w:szCs w:val="24"/>
                <w:highlight w:val="none"/>
                <w:lang w:val="en-US" w:eastAsia="zh-CN" w:bidi="ja-JP"/>
              </w:rPr>
            </w:pPr>
            <w:r>
              <w:rPr>
                <w:rFonts w:hint="eastAsia" w:ascii="仿宋" w:hAnsi="仿宋" w:eastAsia="仿宋" w:cs="仿宋"/>
                <w:sz w:val="24"/>
                <w:szCs w:val="24"/>
                <w:highlight w:val="none"/>
                <w:lang w:val="en-US" w:eastAsia="zh-CN" w:bidi="ja-JP"/>
              </w:rPr>
              <w:t>其他供应商的投标报价得分统一按照下列公式计算：投标报价得分＝（磋商基准价÷投标报价）×</w:t>
            </w:r>
            <w:r>
              <w:rPr>
                <w:rFonts w:hint="eastAsia" w:cs="仿宋"/>
                <w:sz w:val="24"/>
                <w:szCs w:val="24"/>
                <w:highlight w:val="none"/>
                <w:lang w:val="en-US" w:eastAsia="zh-CN" w:bidi="ja-JP"/>
              </w:rPr>
              <w:t>7</w:t>
            </w:r>
            <w:r>
              <w:rPr>
                <w:rFonts w:hint="eastAsia" w:ascii="仿宋" w:hAnsi="仿宋" w:eastAsia="仿宋" w:cs="仿宋"/>
                <w:sz w:val="24"/>
                <w:szCs w:val="24"/>
                <w:highlight w:val="none"/>
                <w:lang w:val="en-US" w:eastAsia="zh-CN" w:bidi="ja-JP"/>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45"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lang w:val="en-US" w:eastAsia="zh-CN" w:bidi="ja-JP"/>
              </w:rPr>
            </w:pPr>
            <w:r>
              <w:rPr>
                <w:rFonts w:hint="eastAsia" w:cs="仿宋"/>
                <w:sz w:val="24"/>
                <w:szCs w:val="24"/>
                <w:highlight w:val="none"/>
                <w:lang w:val="en-US" w:eastAsia="zh-CN" w:bidi="ja-JP"/>
              </w:rPr>
              <w:t>商务技术部分</w:t>
            </w:r>
            <w:r>
              <w:rPr>
                <w:rFonts w:hint="eastAsia" w:ascii="仿宋" w:hAnsi="仿宋" w:eastAsia="仿宋" w:cs="仿宋"/>
                <w:sz w:val="24"/>
                <w:szCs w:val="24"/>
                <w:highlight w:val="none"/>
                <w:lang w:val="en-US" w:eastAsia="zh-CN" w:bidi="ja-JP"/>
              </w:rPr>
              <w:t xml:space="preserve">    （30分）</w:t>
            </w:r>
          </w:p>
        </w:tc>
        <w:tc>
          <w:tcPr>
            <w:tcW w:w="934"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lang w:val="en-US" w:eastAsia="zh-CN" w:bidi="ja-JP"/>
              </w:rPr>
            </w:pPr>
            <w:r>
              <w:rPr>
                <w:rFonts w:hint="eastAsia" w:ascii="仿宋" w:hAnsi="仿宋" w:eastAsia="仿宋" w:cs="仿宋"/>
                <w:sz w:val="24"/>
                <w:szCs w:val="24"/>
                <w:highlight w:val="none"/>
                <w:lang w:val="en-US" w:eastAsia="zh-CN" w:bidi="ja-JP"/>
              </w:rPr>
              <w:t>服务方案</w:t>
            </w:r>
          </w:p>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lang w:val="en-US" w:eastAsia="zh-CN" w:bidi="ja-JP"/>
              </w:rPr>
            </w:pPr>
            <w:r>
              <w:rPr>
                <w:rFonts w:hint="eastAsia" w:cs="仿宋"/>
                <w:sz w:val="24"/>
                <w:szCs w:val="24"/>
                <w:highlight w:val="none"/>
                <w:lang w:val="en-US" w:eastAsia="zh-CN" w:bidi="ja-JP"/>
              </w:rPr>
              <w:t>（12分）</w:t>
            </w:r>
          </w:p>
        </w:tc>
        <w:tc>
          <w:tcPr>
            <w:tcW w:w="3619"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hint="eastAsia" w:ascii="仿宋" w:hAnsi="仿宋" w:eastAsia="仿宋" w:cs="仿宋"/>
                <w:sz w:val="24"/>
                <w:szCs w:val="24"/>
                <w:highlight w:val="none"/>
                <w:lang w:val="ja-JP" w:eastAsia="zh-CN" w:bidi="ja-JP"/>
              </w:rPr>
            </w:pPr>
            <w:r>
              <w:rPr>
                <w:rFonts w:hint="eastAsia" w:ascii="仿宋" w:hAnsi="仿宋" w:eastAsia="仿宋" w:cs="仿宋"/>
                <w:sz w:val="24"/>
                <w:szCs w:val="24"/>
                <w:highlight w:val="none"/>
                <w:lang w:val="ja-JP" w:eastAsia="zh-CN" w:bidi="ja-JP"/>
              </w:rPr>
              <w:t>维护保养方案全面、细致，符合实际，有针对性、完整性、合理性进行评审。方案完整、合理、针对性强得</w:t>
            </w:r>
            <w:r>
              <w:rPr>
                <w:rFonts w:hint="eastAsia" w:cs="仿宋"/>
                <w:sz w:val="24"/>
                <w:szCs w:val="24"/>
                <w:highlight w:val="none"/>
                <w:lang w:val="en-US" w:eastAsia="zh-CN" w:bidi="ja-JP"/>
              </w:rPr>
              <w:t>9</w:t>
            </w:r>
            <w:r>
              <w:rPr>
                <w:rFonts w:hint="eastAsia" w:ascii="仿宋" w:hAnsi="仿宋" w:eastAsia="仿宋" w:cs="仿宋"/>
                <w:sz w:val="24"/>
                <w:szCs w:val="24"/>
                <w:highlight w:val="none"/>
                <w:lang w:val="ja-JP" w:eastAsia="zh-CN" w:bidi="ja-JP"/>
              </w:rPr>
              <w:t>-1</w:t>
            </w:r>
            <w:r>
              <w:rPr>
                <w:rFonts w:hint="eastAsia" w:cs="仿宋"/>
                <w:sz w:val="24"/>
                <w:szCs w:val="24"/>
                <w:highlight w:val="none"/>
                <w:lang w:val="en-US" w:eastAsia="zh-CN" w:bidi="ja-JP"/>
              </w:rPr>
              <w:t>2</w:t>
            </w:r>
            <w:r>
              <w:rPr>
                <w:rFonts w:hint="eastAsia" w:ascii="仿宋" w:hAnsi="仿宋" w:eastAsia="仿宋" w:cs="仿宋"/>
                <w:sz w:val="24"/>
                <w:szCs w:val="24"/>
                <w:highlight w:val="none"/>
                <w:lang w:val="ja-JP" w:eastAsia="zh-CN" w:bidi="ja-JP"/>
              </w:rPr>
              <w:t>分，方案基本完整、合理、针对性不强得5-</w:t>
            </w:r>
            <w:r>
              <w:rPr>
                <w:rFonts w:hint="eastAsia" w:cs="仿宋"/>
                <w:sz w:val="24"/>
                <w:szCs w:val="24"/>
                <w:highlight w:val="none"/>
                <w:lang w:val="en-US" w:eastAsia="zh-CN" w:bidi="ja-JP"/>
              </w:rPr>
              <w:t>8</w:t>
            </w:r>
            <w:r>
              <w:rPr>
                <w:rFonts w:hint="eastAsia" w:ascii="仿宋" w:hAnsi="仿宋" w:eastAsia="仿宋" w:cs="仿宋"/>
                <w:sz w:val="24"/>
                <w:szCs w:val="24"/>
                <w:highlight w:val="none"/>
                <w:lang w:val="ja-JP" w:eastAsia="zh-CN" w:bidi="ja-JP"/>
              </w:rPr>
              <w:t xml:space="preserve"> 分，方案</w:t>
            </w:r>
            <w:r>
              <w:rPr>
                <w:rFonts w:hint="eastAsia" w:cs="仿宋"/>
                <w:sz w:val="24"/>
                <w:szCs w:val="24"/>
                <w:highlight w:val="none"/>
                <w:lang w:val="en-US" w:eastAsia="zh-CN" w:bidi="ja-JP"/>
              </w:rPr>
              <w:t>不足</w:t>
            </w:r>
            <w:r>
              <w:rPr>
                <w:rFonts w:hint="eastAsia" w:ascii="仿宋" w:hAnsi="仿宋" w:eastAsia="仿宋" w:cs="仿宋"/>
                <w:sz w:val="24"/>
                <w:szCs w:val="24"/>
                <w:highlight w:val="none"/>
                <w:lang w:val="ja-JP" w:eastAsia="zh-CN" w:bidi="ja-JP"/>
              </w:rPr>
              <w:t>、合理</w:t>
            </w:r>
            <w:r>
              <w:rPr>
                <w:rFonts w:hint="eastAsia" w:cs="仿宋"/>
                <w:sz w:val="24"/>
                <w:szCs w:val="24"/>
                <w:highlight w:val="none"/>
                <w:lang w:val="en-US" w:eastAsia="zh-CN" w:bidi="ja-JP"/>
              </w:rPr>
              <w:t>性不强</w:t>
            </w:r>
            <w:r>
              <w:rPr>
                <w:rFonts w:hint="eastAsia" w:ascii="仿宋" w:hAnsi="仿宋" w:eastAsia="仿宋" w:cs="仿宋"/>
                <w:sz w:val="24"/>
                <w:szCs w:val="24"/>
                <w:highlight w:val="none"/>
                <w:lang w:val="ja-JP" w:eastAsia="zh-CN" w:bidi="ja-JP"/>
              </w:rPr>
              <w:t>、无针对性得1-</w:t>
            </w:r>
            <w:r>
              <w:rPr>
                <w:rFonts w:hint="eastAsia" w:cs="仿宋"/>
                <w:sz w:val="24"/>
                <w:szCs w:val="24"/>
                <w:highlight w:val="none"/>
                <w:lang w:val="en-US" w:eastAsia="zh-CN" w:bidi="ja-JP"/>
              </w:rPr>
              <w:t>4</w:t>
            </w:r>
            <w:r>
              <w:rPr>
                <w:rFonts w:hint="eastAsia" w:ascii="仿宋" w:hAnsi="仿宋" w:eastAsia="仿宋" w:cs="仿宋"/>
                <w:sz w:val="24"/>
                <w:szCs w:val="24"/>
                <w:highlight w:val="none"/>
                <w:lang w:val="ja-JP" w:eastAsia="zh-CN" w:bidi="ja-JP"/>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445"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lang w:val="en-US" w:eastAsia="zh-CN" w:bidi="ja-JP"/>
              </w:rPr>
            </w:pPr>
          </w:p>
        </w:tc>
        <w:tc>
          <w:tcPr>
            <w:tcW w:w="934"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lang w:val="en-US" w:eastAsia="zh-CN" w:bidi="ja-JP"/>
              </w:rPr>
            </w:pPr>
            <w:r>
              <w:rPr>
                <w:rFonts w:hint="eastAsia" w:ascii="仿宋" w:hAnsi="仿宋" w:eastAsia="仿宋" w:cs="仿宋"/>
                <w:sz w:val="24"/>
                <w:szCs w:val="24"/>
                <w:highlight w:val="none"/>
                <w:lang w:val="en-US" w:eastAsia="zh-CN" w:bidi="ja-JP"/>
              </w:rPr>
              <w:t>公司基本情况和财务状况</w:t>
            </w:r>
          </w:p>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default" w:ascii="仿宋" w:hAnsi="仿宋" w:eastAsia="仿宋" w:cs="仿宋"/>
                <w:sz w:val="24"/>
                <w:szCs w:val="24"/>
                <w:highlight w:val="none"/>
                <w:lang w:val="en-US" w:eastAsia="zh-CN" w:bidi="ja-JP"/>
              </w:rPr>
            </w:pPr>
            <w:r>
              <w:rPr>
                <w:rFonts w:hint="eastAsia" w:cs="仿宋"/>
                <w:sz w:val="24"/>
                <w:szCs w:val="24"/>
                <w:highlight w:val="none"/>
                <w:lang w:val="en-US" w:eastAsia="zh-CN" w:bidi="ja-JP"/>
              </w:rPr>
              <w:t>（10分）</w:t>
            </w:r>
          </w:p>
        </w:tc>
        <w:tc>
          <w:tcPr>
            <w:tcW w:w="3619"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hint="default" w:ascii="仿宋" w:hAnsi="仿宋" w:eastAsia="仿宋" w:cs="仿宋"/>
                <w:sz w:val="24"/>
                <w:szCs w:val="24"/>
                <w:highlight w:val="none"/>
                <w:lang w:val="en-US" w:eastAsia="zh-CN" w:bidi="ja-JP"/>
              </w:rPr>
            </w:pPr>
            <w:r>
              <w:rPr>
                <w:rFonts w:hint="eastAsia" w:cs="仿宋"/>
                <w:sz w:val="24"/>
                <w:szCs w:val="24"/>
                <w:highlight w:val="none"/>
                <w:lang w:val="en-US" w:eastAsia="zh-CN" w:bidi="ja-JP"/>
              </w:rPr>
              <w:t>依据供应商财务状况、设备维修相关人员和设备情况酌情打分；财务状况良好，人员设备能充分满足项目需求得8-10分；财务状况良好，人员设备能基本满足项目需求得5-7分；财务状况一般，人员设备略有不足，得1-4分。不提供的或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445"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lang w:val="en-US" w:eastAsia="zh-CN" w:bidi="ja-JP"/>
              </w:rPr>
            </w:pPr>
          </w:p>
        </w:tc>
        <w:tc>
          <w:tcPr>
            <w:tcW w:w="934"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lang w:val="en-US" w:eastAsia="zh-CN" w:bidi="ja-JP"/>
              </w:rPr>
            </w:pPr>
            <w:r>
              <w:rPr>
                <w:rFonts w:hint="eastAsia" w:ascii="仿宋" w:hAnsi="仿宋" w:eastAsia="仿宋" w:cs="仿宋"/>
                <w:sz w:val="24"/>
                <w:szCs w:val="24"/>
                <w:highlight w:val="none"/>
                <w:lang w:val="en-US" w:eastAsia="zh-CN" w:bidi="ja-JP"/>
              </w:rPr>
              <w:t>作流程安全与人员管理</w:t>
            </w:r>
          </w:p>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default" w:ascii="仿宋" w:hAnsi="仿宋" w:eastAsia="仿宋" w:cs="仿宋"/>
                <w:sz w:val="24"/>
                <w:szCs w:val="24"/>
                <w:highlight w:val="none"/>
                <w:lang w:val="en-US" w:eastAsia="zh-CN" w:bidi="ja-JP"/>
              </w:rPr>
            </w:pPr>
            <w:r>
              <w:rPr>
                <w:rFonts w:hint="eastAsia" w:cs="仿宋"/>
                <w:sz w:val="24"/>
                <w:szCs w:val="24"/>
                <w:highlight w:val="none"/>
                <w:lang w:val="en-US" w:eastAsia="zh-CN" w:bidi="ja-JP"/>
              </w:rPr>
              <w:t>（3分）</w:t>
            </w:r>
          </w:p>
        </w:tc>
        <w:tc>
          <w:tcPr>
            <w:tcW w:w="3619"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hint="default" w:ascii="仿宋" w:hAnsi="仿宋" w:eastAsia="仿宋" w:cs="仿宋"/>
                <w:sz w:val="24"/>
                <w:szCs w:val="24"/>
                <w:lang w:val="en-US" w:eastAsia="zh-CN"/>
              </w:rPr>
            </w:pPr>
            <w:r>
              <w:rPr>
                <w:rFonts w:hint="eastAsia" w:cs="仿宋"/>
                <w:sz w:val="24"/>
                <w:szCs w:val="24"/>
                <w:lang w:val="en-US" w:eastAsia="zh-CN"/>
              </w:rPr>
              <w:t>依据供应商公司管理及维修工作流程的合理性、安全性酌情打分，0-3</w:t>
            </w:r>
            <w:r>
              <w:rPr>
                <w:rFonts w:hint="eastAsia" w:cs="仿宋"/>
                <w:sz w:val="24"/>
                <w:szCs w:val="24"/>
                <w:highlight w:val="none"/>
                <w:lang w:val="en-US" w:eastAsia="zh-CN" w:bidi="ja-JP"/>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445"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lang w:val="en-US" w:eastAsia="zh-CN" w:bidi="ja-JP"/>
              </w:rPr>
            </w:pPr>
          </w:p>
        </w:tc>
        <w:tc>
          <w:tcPr>
            <w:tcW w:w="934"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lang w:val="en-US" w:eastAsia="zh-CN" w:bidi="ja-JP"/>
              </w:rPr>
            </w:pPr>
            <w:r>
              <w:rPr>
                <w:rFonts w:hint="eastAsia" w:ascii="仿宋" w:hAnsi="仿宋" w:eastAsia="仿宋" w:cs="仿宋"/>
                <w:sz w:val="24"/>
                <w:szCs w:val="24"/>
                <w:highlight w:val="none"/>
                <w:lang w:val="en-US" w:eastAsia="zh-CN" w:bidi="ja-JP"/>
              </w:rPr>
              <w:t>优惠条件</w:t>
            </w:r>
          </w:p>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default" w:ascii="仿宋" w:hAnsi="仿宋" w:eastAsia="仿宋" w:cs="仿宋"/>
                <w:sz w:val="24"/>
                <w:szCs w:val="24"/>
                <w:highlight w:val="none"/>
                <w:lang w:val="en-US" w:eastAsia="zh-CN" w:bidi="ja-JP"/>
              </w:rPr>
            </w:pPr>
            <w:r>
              <w:rPr>
                <w:rFonts w:hint="eastAsia" w:cs="仿宋"/>
                <w:sz w:val="24"/>
                <w:szCs w:val="24"/>
                <w:highlight w:val="none"/>
                <w:lang w:val="en-US" w:eastAsia="zh-CN" w:bidi="ja-JP"/>
              </w:rPr>
              <w:t>（3分）</w:t>
            </w:r>
          </w:p>
        </w:tc>
        <w:tc>
          <w:tcPr>
            <w:tcW w:w="3619"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hint="default" w:ascii="仿宋" w:hAnsi="仿宋" w:eastAsia="仿宋" w:cs="仿宋"/>
                <w:sz w:val="24"/>
                <w:szCs w:val="24"/>
                <w:highlight w:val="none"/>
                <w:lang w:val="en-US" w:eastAsia="zh-CN"/>
              </w:rPr>
            </w:pPr>
            <w:r>
              <w:rPr>
                <w:rFonts w:hint="eastAsia" w:cs="仿宋"/>
                <w:sz w:val="24"/>
                <w:szCs w:val="24"/>
                <w:highlight w:val="none"/>
                <w:lang w:val="en-US" w:eastAsia="zh-CN"/>
              </w:rPr>
              <w:t>依据供应商优惠条件对本项目的针对性和实用性酌情打分0-3分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445"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4"/>
                <w:szCs w:val="24"/>
                <w:highlight w:val="none"/>
                <w:lang w:val="en-US" w:eastAsia="zh-CN" w:bidi="ja-JP"/>
              </w:rPr>
            </w:pPr>
          </w:p>
        </w:tc>
        <w:tc>
          <w:tcPr>
            <w:tcW w:w="934"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default" w:ascii="仿宋" w:hAnsi="仿宋" w:eastAsia="仿宋" w:cs="仿宋"/>
                <w:sz w:val="24"/>
                <w:szCs w:val="24"/>
                <w:highlight w:val="none"/>
                <w:lang w:val="en-US" w:eastAsia="zh-CN" w:bidi="ja-JP"/>
              </w:rPr>
            </w:pPr>
            <w:r>
              <w:rPr>
                <w:rFonts w:hint="eastAsia" w:cs="仿宋"/>
                <w:sz w:val="24"/>
                <w:szCs w:val="24"/>
                <w:highlight w:val="none"/>
                <w:lang w:val="en-US" w:eastAsia="zh-CN" w:bidi="ja-JP"/>
              </w:rPr>
              <w:t>响应</w:t>
            </w:r>
            <w:r>
              <w:rPr>
                <w:rFonts w:hint="eastAsia" w:ascii="仿宋" w:hAnsi="仿宋" w:eastAsia="仿宋" w:cs="仿宋"/>
                <w:sz w:val="24"/>
                <w:szCs w:val="24"/>
                <w:highlight w:val="none"/>
                <w:lang w:val="en-US" w:eastAsia="zh-CN" w:bidi="ja-JP"/>
              </w:rPr>
              <w:t>文件的内容完整性和编制水平</w:t>
            </w:r>
            <w:r>
              <w:rPr>
                <w:rFonts w:hint="eastAsia" w:cs="仿宋"/>
                <w:sz w:val="24"/>
                <w:szCs w:val="24"/>
                <w:highlight w:val="none"/>
                <w:lang w:val="en-US" w:eastAsia="zh-CN" w:bidi="ja-JP"/>
              </w:rPr>
              <w:t>（2分）</w:t>
            </w:r>
          </w:p>
        </w:tc>
        <w:tc>
          <w:tcPr>
            <w:tcW w:w="3619" w:type="pct"/>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hint="default" w:ascii="仿宋" w:hAnsi="仿宋" w:eastAsia="仿宋" w:cs="仿宋"/>
                <w:sz w:val="24"/>
                <w:szCs w:val="24"/>
                <w:highlight w:val="none"/>
                <w:lang w:val="en-US" w:eastAsia="zh-CN"/>
              </w:rPr>
            </w:pPr>
            <w:r>
              <w:rPr>
                <w:rFonts w:hint="eastAsia" w:cs="仿宋"/>
                <w:sz w:val="24"/>
                <w:szCs w:val="24"/>
                <w:highlight w:val="none"/>
                <w:lang w:val="en-US" w:eastAsia="zh-CN"/>
              </w:rPr>
              <w:t>依据供应商响应文件的制作情况及澄清答疑情况酌情得分，0-2分。</w:t>
            </w:r>
          </w:p>
        </w:tc>
      </w:tr>
    </w:tbl>
    <w:p>
      <w:pPr>
        <w:pStyle w:val="27"/>
        <w:rPr>
          <w:lang w:val="ja-JP" w:eastAsia="ja-JP"/>
        </w:rPr>
      </w:pPr>
    </w:p>
    <w:sectPr>
      <w:footerReference r:id="rId6"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insoku w:val="0"/>
      <w:overflowPunct w:val="0"/>
      <w:spacing w:line="14" w:lineRule="auto"/>
      <w:rPr>
        <w:sz w:val="18"/>
      </w:rPr>
    </w:pPr>
    <w:r>
      <w:rPr>
        <w:spacing w:val="7"/>
      </w:rPr>
      <w:pict>
        <v:shape id="_x0000_s2052" o:spid="_x0000_s2052" o:spt="202" type="#_x0000_t202" style="position:absolute;left:0pt;margin-top:803.35pt;height:11pt;width:13.1pt;mso-position-horizontal:center;mso-position-horizontal-relative:margin;mso-position-vertical-relative:page;z-index:251660288;mso-width-relative:page;mso-height-relative:page;" filled="f" stroked="f" coordsize="21600,21600" o:gfxdata="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evqbtYAAAAJAQAADwAAAAAAAAABACAA&#10;AAAiAAAAZHJzL2Rvd25yZXYueG1sUEsBAhQAFAAAAAgAh07iQAL+rc+dAQAAIwMAAA4AAAAAAAAA&#10;AQAgAAAAJQEAAGRycy9lMm9Eb2MueG1sUEsFBgAAAAAGAAYAWQEAADQFAAAAAA==&#10;">
          <v:path/>
          <v:fill on="f" focussize="0,0"/>
          <v:stroke on="f" joinstyle="miter"/>
          <v:imagedata o:title=""/>
          <o:lock v:ext="edit"/>
          <v:textbox inset="0mm,0mm,0mm,0mm">
            <w:txbxContent>
              <w:p>
                <w:pPr>
                  <w:pStyle w:val="11"/>
                  <w:kinsoku w:val="0"/>
                  <w:overflowPunct w:val="0"/>
                  <w:spacing w:line="204" w:lineRule="exact"/>
                  <w:ind w:left="40"/>
                  <w:rPr>
                    <w:rFonts w:ascii="Times New Roman" w:hAnsi="Times New Roman" w:eastAsia="Times New Roman"/>
                    <w:sz w:val="18"/>
                  </w:rPr>
                </w:pPr>
                <w:r>
                  <w:rPr>
                    <w:rFonts w:ascii="Times New Roman" w:hAnsi="Times New Roman" w:eastAsia="Times New Roman"/>
                    <w:sz w:val="18"/>
                  </w:rPr>
                  <w:fldChar w:fldCharType="begin"/>
                </w:r>
                <w:r>
                  <w:rPr>
                    <w:rFonts w:ascii="Times New Roman" w:hAnsi="Times New Roman" w:eastAsia="Times New Roman"/>
                    <w:sz w:val="18"/>
                  </w:rPr>
                  <w:instrText xml:space="preserve"> PAGE </w:instrText>
                </w:r>
                <w:r>
                  <w:rPr>
                    <w:rFonts w:ascii="Times New Roman" w:hAnsi="Times New Roman" w:eastAsia="Times New Roman"/>
                    <w:sz w:val="18"/>
                  </w:rPr>
                  <w:fldChar w:fldCharType="separate"/>
                </w:r>
                <w:r>
                  <w:rPr>
                    <w:rFonts w:ascii="Times New Roman" w:hAnsi="Times New Roman" w:eastAsia="Times New Roman"/>
                    <w:sz w:val="18"/>
                  </w:rPr>
                  <w:t>36</w:t>
                </w:r>
                <w:r>
                  <w:rPr>
                    <w:rFonts w:ascii="Times New Roman" w:hAnsi="Times New Roman" w:eastAsia="Times New Roman"/>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4306C"/>
    <w:multiLevelType w:val="singleLevel"/>
    <w:tmpl w:val="F264306C"/>
    <w:lvl w:ilvl="0" w:tentative="0">
      <w:start w:val="3"/>
      <w:numFmt w:val="decimal"/>
      <w:suff w:val="nothing"/>
      <w:lvlText w:val="%1、"/>
      <w:lvlJc w:val="left"/>
    </w:lvl>
  </w:abstractNum>
  <w:abstractNum w:abstractNumId="1">
    <w:nsid w:val="3A8135B8"/>
    <w:multiLevelType w:val="singleLevel"/>
    <w:tmpl w:val="3A8135B8"/>
    <w:lvl w:ilvl="0" w:tentative="0">
      <w:start w:val="1"/>
      <w:numFmt w:val="chineseCounting"/>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F12A1"/>
    <w:rsid w:val="005F3FA1"/>
    <w:rsid w:val="00875BFB"/>
    <w:rsid w:val="009C6C5D"/>
    <w:rsid w:val="00A30F64"/>
    <w:rsid w:val="00AD7B33"/>
    <w:rsid w:val="049916CE"/>
    <w:rsid w:val="058A54CF"/>
    <w:rsid w:val="07A44A64"/>
    <w:rsid w:val="082537B6"/>
    <w:rsid w:val="086A4406"/>
    <w:rsid w:val="09D83733"/>
    <w:rsid w:val="0BAA05CC"/>
    <w:rsid w:val="0BF309B0"/>
    <w:rsid w:val="0D5C3271"/>
    <w:rsid w:val="10C57D6E"/>
    <w:rsid w:val="134B7DEC"/>
    <w:rsid w:val="149C358E"/>
    <w:rsid w:val="17152510"/>
    <w:rsid w:val="187A0A44"/>
    <w:rsid w:val="19533641"/>
    <w:rsid w:val="195C6CAE"/>
    <w:rsid w:val="1A9A5200"/>
    <w:rsid w:val="1AF94756"/>
    <w:rsid w:val="1B7D5431"/>
    <w:rsid w:val="1CA02A01"/>
    <w:rsid w:val="1CC20972"/>
    <w:rsid w:val="1DBC7290"/>
    <w:rsid w:val="1DC1482E"/>
    <w:rsid w:val="1FE03A9F"/>
    <w:rsid w:val="218C324D"/>
    <w:rsid w:val="23223989"/>
    <w:rsid w:val="23552E41"/>
    <w:rsid w:val="242668CA"/>
    <w:rsid w:val="252323A7"/>
    <w:rsid w:val="25D64259"/>
    <w:rsid w:val="26EF474C"/>
    <w:rsid w:val="280255FE"/>
    <w:rsid w:val="2A2C61AE"/>
    <w:rsid w:val="2A9F6DE8"/>
    <w:rsid w:val="2BF304E7"/>
    <w:rsid w:val="2D77011A"/>
    <w:rsid w:val="2F675D4B"/>
    <w:rsid w:val="30B11A1B"/>
    <w:rsid w:val="31824614"/>
    <w:rsid w:val="32D97120"/>
    <w:rsid w:val="33703BF2"/>
    <w:rsid w:val="33F70989"/>
    <w:rsid w:val="34005539"/>
    <w:rsid w:val="346C5EE4"/>
    <w:rsid w:val="36C7717F"/>
    <w:rsid w:val="37621DC7"/>
    <w:rsid w:val="38FD0EFE"/>
    <w:rsid w:val="39A70AE3"/>
    <w:rsid w:val="3A1E156F"/>
    <w:rsid w:val="3B805757"/>
    <w:rsid w:val="3B964155"/>
    <w:rsid w:val="401535E2"/>
    <w:rsid w:val="43465751"/>
    <w:rsid w:val="4426369E"/>
    <w:rsid w:val="46E04160"/>
    <w:rsid w:val="470E5372"/>
    <w:rsid w:val="4859135A"/>
    <w:rsid w:val="496D059F"/>
    <w:rsid w:val="4BD44234"/>
    <w:rsid w:val="4BEF68D4"/>
    <w:rsid w:val="4E43544E"/>
    <w:rsid w:val="50067A67"/>
    <w:rsid w:val="518E7184"/>
    <w:rsid w:val="51FC4B31"/>
    <w:rsid w:val="52576CF8"/>
    <w:rsid w:val="539D2F2D"/>
    <w:rsid w:val="53D01507"/>
    <w:rsid w:val="53EA1794"/>
    <w:rsid w:val="55094E7D"/>
    <w:rsid w:val="55E90CD0"/>
    <w:rsid w:val="585F2029"/>
    <w:rsid w:val="5A8E465B"/>
    <w:rsid w:val="5AB15C91"/>
    <w:rsid w:val="5ABD7735"/>
    <w:rsid w:val="5D767FC4"/>
    <w:rsid w:val="5E02237F"/>
    <w:rsid w:val="5E26079A"/>
    <w:rsid w:val="5E6E3F21"/>
    <w:rsid w:val="63705304"/>
    <w:rsid w:val="6373326F"/>
    <w:rsid w:val="66A96C42"/>
    <w:rsid w:val="68E4373A"/>
    <w:rsid w:val="6AB51504"/>
    <w:rsid w:val="6B676A85"/>
    <w:rsid w:val="6C637C38"/>
    <w:rsid w:val="6D63328A"/>
    <w:rsid w:val="6D6A2375"/>
    <w:rsid w:val="6E050393"/>
    <w:rsid w:val="6EA12640"/>
    <w:rsid w:val="6EB94731"/>
    <w:rsid w:val="7258769A"/>
    <w:rsid w:val="7335599E"/>
    <w:rsid w:val="742864CD"/>
    <w:rsid w:val="75103932"/>
    <w:rsid w:val="75F62A1F"/>
    <w:rsid w:val="77046BCB"/>
    <w:rsid w:val="77294C19"/>
    <w:rsid w:val="774452F1"/>
    <w:rsid w:val="77F91979"/>
    <w:rsid w:val="78CB0196"/>
    <w:rsid w:val="79FB4079"/>
    <w:rsid w:val="7A1F28BB"/>
    <w:rsid w:val="7A486AF4"/>
    <w:rsid w:val="7DB84F1F"/>
    <w:rsid w:val="7EAC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ja-JP" w:eastAsia="ja-JP" w:bidi="ja-JP"/>
    </w:rPr>
  </w:style>
  <w:style w:type="paragraph" w:styleId="3">
    <w:name w:val="heading 1"/>
    <w:basedOn w:val="1"/>
    <w:next w:val="1"/>
    <w:link w:val="28"/>
    <w:qFormat/>
    <w:uiPriority w:val="0"/>
    <w:pPr>
      <w:keepNext/>
      <w:keepLines/>
      <w:spacing w:line="576" w:lineRule="auto"/>
      <w:outlineLvl w:val="0"/>
    </w:pPr>
    <w:rPr>
      <w:b/>
      <w:kern w:val="44"/>
      <w:sz w:val="44"/>
    </w:rPr>
  </w:style>
  <w:style w:type="paragraph" w:styleId="4">
    <w:name w:val="heading 2"/>
    <w:basedOn w:val="1"/>
    <w:next w:val="5"/>
    <w:qFormat/>
    <w:uiPriority w:val="1"/>
    <w:pPr>
      <w:spacing w:before="34"/>
      <w:ind w:left="441"/>
      <w:jc w:val="center"/>
      <w:outlineLvl w:val="1"/>
    </w:pPr>
    <w:rPr>
      <w:sz w:val="36"/>
      <w:szCs w:val="36"/>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1"/>
    <w:pPr>
      <w:ind w:left="272"/>
      <w:outlineLvl w:val="3"/>
    </w:pPr>
    <w:rPr>
      <w:sz w:val="32"/>
      <w:szCs w:val="32"/>
    </w:rPr>
  </w:style>
  <w:style w:type="paragraph" w:styleId="8">
    <w:name w:val="heading 6"/>
    <w:basedOn w:val="1"/>
    <w:next w:val="1"/>
    <w:unhideWhenUsed/>
    <w:qFormat/>
    <w:uiPriority w:val="1"/>
    <w:pPr>
      <w:spacing w:beforeLines="0" w:afterLines="0"/>
      <w:ind w:left="112"/>
      <w:outlineLvl w:val="5"/>
    </w:pPr>
    <w:rPr>
      <w:rFonts w:hint="eastAsia" w:ascii="仿宋" w:hAnsi="仿宋" w:eastAsia="仿宋"/>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List 21"/>
    <w:basedOn w:val="1"/>
    <w:qFormat/>
    <w:uiPriority w:val="0"/>
    <w:pPr>
      <w:ind w:left="100" w:leftChars="200" w:hanging="200" w:hangingChars="200"/>
    </w:pPr>
  </w:style>
  <w:style w:type="paragraph" w:styleId="5">
    <w:name w:val="Normal Indent"/>
    <w:basedOn w:val="1"/>
    <w:qFormat/>
    <w:uiPriority w:val="0"/>
    <w:pPr>
      <w:ind w:firstLine="420" w:firstLineChars="200"/>
    </w:p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toa heading"/>
    <w:basedOn w:val="1"/>
    <w:next w:val="1"/>
    <w:semiHidden/>
    <w:qFormat/>
    <w:uiPriority w:val="0"/>
    <w:pPr>
      <w:spacing w:before="120"/>
    </w:pPr>
    <w:rPr>
      <w:rFonts w:ascii="Arial" w:hAnsi="Arial"/>
    </w:rPr>
  </w:style>
  <w:style w:type="paragraph" w:styleId="11">
    <w:name w:val="Body Text"/>
    <w:basedOn w:val="1"/>
    <w:next w:val="12"/>
    <w:qFormat/>
    <w:uiPriority w:val="1"/>
    <w:rPr>
      <w:sz w:val="24"/>
      <w:szCs w:val="24"/>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3">
    <w:name w:val="Body Text Indent"/>
    <w:basedOn w:val="1"/>
    <w:qFormat/>
    <w:uiPriority w:val="0"/>
    <w:pPr>
      <w:spacing w:line="500" w:lineRule="exact"/>
      <w:ind w:left="1588" w:leftChars="832" w:firstLine="433" w:firstLineChars="196"/>
    </w:pPr>
    <w:rPr>
      <w:sz w:val="24"/>
    </w:rPr>
  </w:style>
  <w:style w:type="paragraph" w:styleId="14">
    <w:name w:val="Plain Text"/>
    <w:basedOn w:val="1"/>
    <w:qFormat/>
    <w:uiPriority w:val="99"/>
    <w:rPr>
      <w:rFonts w:ascii="宋体" w:hAnsi="Courier New"/>
      <w:szCs w:val="20"/>
    </w:rPr>
  </w:style>
  <w:style w:type="paragraph" w:styleId="15">
    <w:name w:val="Balloon Text"/>
    <w:basedOn w:val="1"/>
    <w:link w:val="31"/>
    <w:qFormat/>
    <w:uiPriority w:val="0"/>
    <w:rPr>
      <w:sz w:val="18"/>
      <w:szCs w:val="18"/>
    </w:rPr>
  </w:style>
  <w:style w:type="paragraph" w:styleId="16">
    <w:name w:val="footer"/>
    <w:basedOn w:val="1"/>
    <w:qFormat/>
    <w:uiPriority w:val="99"/>
    <w:pPr>
      <w:tabs>
        <w:tab w:val="center" w:pos="4153"/>
        <w:tab w:val="right" w:pos="8306"/>
      </w:tabs>
      <w:snapToGrid w:val="0"/>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unhideWhenUsed/>
    <w:qFormat/>
    <w:uiPriority w:val="0"/>
    <w:pPr>
      <w:tabs>
        <w:tab w:val="left" w:pos="1134"/>
        <w:tab w:val="left" w:pos="5481"/>
        <w:tab w:val="left" w:pos="5859"/>
      </w:tabs>
      <w:spacing w:line="500" w:lineRule="exact"/>
      <w:ind w:firstLine="8275" w:firstLineChars="1200"/>
    </w:pPr>
    <w:rPr>
      <w:rFonts w:ascii="Times New Roman" w:hAnsi="Times New Roman" w:eastAsia="黑体"/>
      <w:b/>
      <w:sz w:val="72"/>
    </w:rPr>
  </w:style>
  <w:style w:type="paragraph" w:styleId="19">
    <w:name w:val="Body Text 2"/>
    <w:basedOn w:val="1"/>
    <w:qFormat/>
    <w:uiPriority w:val="0"/>
    <w:pPr>
      <w:adjustRightInd w:val="0"/>
      <w:snapToGrid w:val="0"/>
      <w:spacing w:line="480" w:lineRule="atLeast"/>
    </w:pPr>
    <w:rPr>
      <w:rFonts w:ascii="宋体" w:hAnsi="宋体"/>
      <w:sz w:val="28"/>
    </w:rPr>
  </w:style>
  <w:style w:type="paragraph" w:styleId="20">
    <w:name w:val="Body Text First Indent 2"/>
    <w:basedOn w:val="13"/>
    <w:qFormat/>
    <w:uiPriority w:val="0"/>
    <w:pPr>
      <w:spacing w:after="120" w:line="240" w:lineRule="auto"/>
      <w:ind w:left="420" w:leftChars="200" w:firstLine="420" w:firstLineChars="200"/>
    </w:pPr>
    <w:rPr>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FollowedHyperlink"/>
    <w:basedOn w:val="23"/>
    <w:qFormat/>
    <w:uiPriority w:val="0"/>
    <w:rPr>
      <w:color w:val="800080"/>
      <w:u w:val="none"/>
    </w:rPr>
  </w:style>
  <w:style w:type="character" w:styleId="26">
    <w:name w:val="Hyperlink"/>
    <w:basedOn w:val="23"/>
    <w:qFormat/>
    <w:uiPriority w:val="0"/>
    <w:rPr>
      <w:color w:val="0000FF"/>
      <w:u w:val="none"/>
    </w:rPr>
  </w:style>
  <w:style w:type="paragraph" w:customStyle="1" w:styleId="2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28">
    <w:name w:val="标题 1 Char"/>
    <w:link w:val="3"/>
    <w:qFormat/>
    <w:uiPriority w:val="0"/>
    <w:rPr>
      <w:b/>
      <w:kern w:val="44"/>
      <w:sz w:val="44"/>
    </w:rPr>
  </w:style>
  <w:style w:type="paragraph" w:customStyle="1" w:styleId="29">
    <w:name w:val="Table Paragraph"/>
    <w:basedOn w:val="1"/>
    <w:unhideWhenUsed/>
    <w:qFormat/>
    <w:uiPriority w:val="1"/>
    <w:rPr>
      <w:sz w:val="24"/>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批注框文本 Char"/>
    <w:basedOn w:val="23"/>
    <w:link w:val="15"/>
    <w:qFormat/>
    <w:uiPriority w:val="0"/>
    <w:rPr>
      <w:rFonts w:ascii="仿宋" w:hAnsi="仿宋" w:eastAsia="仿宋" w:cs="仿宋"/>
      <w:sz w:val="18"/>
      <w:szCs w:val="18"/>
      <w:lang w:val="ja-JP" w:eastAsia="ja-JP" w:bidi="ja-JP"/>
    </w:rPr>
  </w:style>
  <w:style w:type="paragraph" w:customStyle="1" w:styleId="32">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rPr>
  </w:style>
  <w:style w:type="paragraph" w:customStyle="1" w:styleId="3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List Paragraph1"/>
    <w:basedOn w:val="1"/>
    <w:qFormat/>
    <w:uiPriority w:val="99"/>
    <w:pPr>
      <w:ind w:firstLine="420" w:firstLineChars="200"/>
    </w:pPr>
  </w:style>
  <w:style w:type="paragraph" w:customStyle="1" w:styleId="35">
    <w:name w:val="首行缩进"/>
    <w:basedOn w:val="1"/>
    <w:qFormat/>
    <w:uiPriority w:val="0"/>
    <w:pPr>
      <w:spacing w:line="360" w:lineRule="auto"/>
      <w:ind w:firstLine="420"/>
    </w:pPr>
    <w:rPr>
      <w:rFonts w:ascii="Verdana" w:hAnsi="Verdana" w:cs="Verdana"/>
      <w:color w:val="0000FF"/>
      <w:kern w:val="1"/>
    </w:rPr>
  </w:style>
  <w:style w:type="character" w:customStyle="1" w:styleId="36">
    <w:name w:val="font11"/>
    <w:basedOn w:val="23"/>
    <w:qFormat/>
    <w:uiPriority w:val="0"/>
    <w:rPr>
      <w:rFonts w:hint="default" w:ascii="Times New Roman" w:hAnsi="Times New Roman" w:cs="Times New Roman"/>
      <w:color w:val="000000"/>
      <w:sz w:val="22"/>
      <w:szCs w:val="22"/>
      <w:u w:val="none"/>
    </w:rPr>
  </w:style>
  <w:style w:type="character" w:customStyle="1" w:styleId="37">
    <w:name w:val="font31"/>
    <w:basedOn w:val="23"/>
    <w:qFormat/>
    <w:uiPriority w:val="0"/>
    <w:rPr>
      <w:rFonts w:hint="eastAsia" w:ascii="宋体" w:hAnsi="宋体" w:eastAsia="宋体" w:cs="宋体"/>
      <w:color w:val="000000"/>
      <w:sz w:val="22"/>
      <w:szCs w:val="22"/>
      <w:u w:val="none"/>
    </w:rPr>
  </w:style>
  <w:style w:type="character" w:customStyle="1" w:styleId="38">
    <w:name w:val="font21"/>
    <w:basedOn w:val="2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1" textRotate="1"/>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2693</Words>
  <Characters>15351</Characters>
  <Lines>127</Lines>
  <Paragraphs>36</Paragraphs>
  <TotalTime>45</TotalTime>
  <ScaleCrop>false</ScaleCrop>
  <LinksUpToDate>false</LinksUpToDate>
  <CharactersWithSpaces>18008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sh</cp:lastModifiedBy>
  <cp:lastPrinted>2020-10-12T05:44:00Z</cp:lastPrinted>
  <dcterms:modified xsi:type="dcterms:W3CDTF">2021-06-18T02:46:56Z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7E5A2E301513499CA52175CE0E824745</vt:lpwstr>
  </property>
</Properties>
</file>