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  <w:lang w:eastAsia="zh-CN"/>
        </w:rPr>
      </w:pPr>
      <w:r>
        <w:rPr>
          <w:rFonts w:hint="eastAsia" w:eastAsia="宋体"/>
          <w:b/>
          <w:sz w:val="32"/>
          <w:lang w:eastAsia="zh-CN"/>
        </w:rPr>
        <w:t>安全责任</w:t>
      </w:r>
      <w:r>
        <w:rPr>
          <w:rFonts w:hint="eastAsia" w:eastAsia="宋体"/>
          <w:b/>
          <w:sz w:val="32"/>
          <w:szCs w:val="32"/>
          <w:lang w:eastAsia="zh-CN"/>
        </w:rPr>
        <w:t>协议书</w:t>
      </w:r>
    </w:p>
    <w:p>
      <w:pPr>
        <w:spacing w:line="360" w:lineRule="auto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甲方:</w:t>
      </w:r>
      <w:r>
        <w:rPr>
          <w:rFonts w:hint="eastAsia" w:eastAsia="宋体"/>
          <w:u w:val="single"/>
          <w:lang w:eastAsia="zh-CN"/>
        </w:rPr>
        <w:t>北京新世界利莹百货有限公司</w:t>
      </w:r>
    </w:p>
    <w:p>
      <w:pPr>
        <w:spacing w:line="360" w:lineRule="auto"/>
        <w:rPr>
          <w:rFonts w:hint="eastAsia" w:eastAsia="宋体"/>
          <w:u w:val="single"/>
          <w:lang w:eastAsia="zh-CN"/>
        </w:rPr>
      </w:pPr>
      <w:r>
        <w:rPr>
          <w:rFonts w:hint="eastAsia" w:eastAsia="宋体"/>
          <w:lang w:eastAsia="zh-CN"/>
        </w:rPr>
        <w:t>乙</w:t>
      </w:r>
      <w:r>
        <w:rPr>
          <w:rFonts w:hint="eastAsia" w:eastAsia="宋体"/>
          <w:u w:val="single"/>
          <w:lang w:eastAsia="zh-CN"/>
        </w:rPr>
        <w:t>方:北</w:t>
      </w:r>
      <w:r>
        <w:rPr>
          <w:rFonts w:hint="eastAsia" w:eastAsia="宋体"/>
          <w:u w:val="single"/>
          <w:lang w:eastAsia="zh-CN"/>
        </w:rPr>
        <w:t>京三汇能环科技发展有限公司</w:t>
      </w:r>
    </w:p>
    <w:p>
      <w:pPr>
        <w:spacing w:line="360" w:lineRule="auto"/>
        <w:ind w:firstLine="480" w:firstLineChars="20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为明确甲方和乙方之间安全责任,保证乙方员工和其所有雇员在承包过程中人身健康和安全,预防发生各类安全事故,经双方协商,甲乙双方自愿签订本协议:</w:t>
      </w:r>
    </w:p>
    <w:p>
      <w:pPr>
        <w:spacing w:line="360" w:lineRule="auto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一、甲方的安全责任：</w:t>
      </w:r>
    </w:p>
    <w:p>
      <w:pPr>
        <w:spacing w:line="360" w:lineRule="auto"/>
        <w:ind w:firstLine="480" w:firstLineChars="20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1、甲方对所需承包范围和安全注意事项。</w:t>
      </w:r>
    </w:p>
    <w:p>
      <w:pPr>
        <w:spacing w:line="360" w:lineRule="auto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二、北京三汇能环科技发展有限公司（已方）的安全责任：</w:t>
      </w:r>
    </w:p>
    <w:p>
      <w:pPr>
        <w:spacing w:line="360" w:lineRule="auto"/>
        <w:ind w:left="840" w:leftChars="200" w:hanging="360" w:hangingChars="15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1、承包方（乙方）必须贯彻执行国家有关安全生产的方针、政策、法令、法规，遵守国家、行业有关安全生产、文明生产的规定。</w:t>
      </w:r>
    </w:p>
    <w:p>
      <w:pPr>
        <w:spacing w:line="360" w:lineRule="auto"/>
        <w:ind w:firstLine="480" w:firstLineChars="20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2、承包前，承包方必须对上岗工人员进行安全教育、技能和安全培训。</w:t>
      </w:r>
    </w:p>
    <w:p>
      <w:pPr>
        <w:spacing w:line="360" w:lineRule="auto"/>
        <w:ind w:left="840" w:leftChars="200" w:hanging="360" w:hangingChars="150"/>
        <w:rPr>
          <w:rFonts w:eastAsia="宋体"/>
          <w:color w:val="FF0000"/>
          <w:lang w:eastAsia="zh-CN"/>
        </w:rPr>
      </w:pPr>
      <w:r>
        <w:rPr>
          <w:rFonts w:hint="eastAsia" w:eastAsia="宋体"/>
          <w:lang w:eastAsia="zh-CN"/>
        </w:rPr>
        <w:t>3、承包方（乙方）工作人员必须无妨碍工作的病症，否则不得参与直燃机、冷却塔年度维保工作。</w:t>
      </w:r>
      <w:bookmarkStart w:id="0" w:name="_GoBack"/>
      <w:bookmarkEnd w:id="0"/>
    </w:p>
    <w:p>
      <w:pPr>
        <w:spacing w:line="360" w:lineRule="auto"/>
        <w:ind w:left="840" w:leftChars="200" w:hanging="360" w:hangingChars="15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4、承包方（乙方）必须按国家有关规定，为直燃机、冷却塔年度维保工作员工</w:t>
      </w:r>
      <w:r>
        <w:rPr>
          <w:rFonts w:hint="eastAsia" w:eastAsia="宋体"/>
          <w:lang w:eastAsia="zh-CN"/>
        </w:rPr>
        <w:t>配备合格的劳动防护用品及安全具，并保证工具、器械使用安全。</w:t>
      </w:r>
    </w:p>
    <w:p>
      <w:pPr>
        <w:spacing w:line="360" w:lineRule="auto"/>
        <w:ind w:left="840" w:leftChars="200" w:hanging="360" w:hangingChars="15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5、承包方（乙方）应按《中华人民共和国劳动法》等法律、法规、规定用工，严禁使用未成年工和有职业禁忌的人员进行工作。</w:t>
      </w:r>
    </w:p>
    <w:p>
      <w:pPr>
        <w:spacing w:line="360" w:lineRule="auto"/>
        <w:ind w:left="840" w:leftChars="200" w:hanging="360" w:hangingChars="15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6、承包方（乙方）在垃圾清运过程中，其人员发生安全事故时，承包方（乙方）承担全部经济和法律责任，与甲方无关。</w:t>
      </w:r>
    </w:p>
    <w:p>
      <w:pPr>
        <w:spacing w:line="360" w:lineRule="auto"/>
        <w:ind w:left="840" w:leftChars="200" w:hanging="360" w:hangingChars="15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7、承包方（乙方）在直燃机、冷却塔年度维保工作作业过程中，因采取的安全措施不当、违反有关安全程序造成的一切事故或对第三方造成损失的，均由乙方承担所造成的经济损失及法律责任。</w:t>
      </w:r>
    </w:p>
    <w:p>
      <w:pPr>
        <w:ind w:left="840" w:leftChars="300" w:hanging="120" w:hangingChars="50"/>
        <w:rPr>
          <w:rFonts w:eastAsia="宋体"/>
          <w:lang w:eastAsia="zh-CN"/>
        </w:rPr>
      </w:pPr>
    </w:p>
    <w:p>
      <w:pPr>
        <w:ind w:left="840" w:leftChars="300" w:hanging="120" w:hangingChars="50"/>
        <w:rPr>
          <w:rFonts w:eastAsia="宋体"/>
          <w:lang w:eastAsia="zh-CN"/>
        </w:rPr>
      </w:pPr>
    </w:p>
    <w:p>
      <w:pPr>
        <w:ind w:left="840" w:leftChars="300" w:hanging="120" w:hangingChars="5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甲方：                                  乙方：</w:t>
      </w:r>
    </w:p>
    <w:p>
      <w:pPr>
        <w:ind w:left="840" w:leftChars="300" w:hanging="120" w:hangingChars="50"/>
        <w:rPr>
          <w:rFonts w:eastAsia="宋体"/>
          <w:lang w:eastAsia="zh-CN"/>
        </w:rPr>
      </w:pPr>
    </w:p>
    <w:p>
      <w:pPr>
        <w:ind w:left="840" w:leftChars="200" w:hanging="360" w:hangingChars="15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代理人：                                代理人：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8D"/>
    <w:rsid w:val="00466D70"/>
    <w:rsid w:val="004849A8"/>
    <w:rsid w:val="004C6903"/>
    <w:rsid w:val="0050298D"/>
    <w:rsid w:val="005415CC"/>
    <w:rsid w:val="005D4A48"/>
    <w:rsid w:val="00651912"/>
    <w:rsid w:val="006523F8"/>
    <w:rsid w:val="00671F4F"/>
    <w:rsid w:val="0071791E"/>
    <w:rsid w:val="009F1427"/>
    <w:rsid w:val="00A00484"/>
    <w:rsid w:val="00AA7F75"/>
    <w:rsid w:val="00AF2560"/>
    <w:rsid w:val="00B23089"/>
    <w:rsid w:val="00B816F8"/>
    <w:rsid w:val="00C909C4"/>
    <w:rsid w:val="00D055BC"/>
    <w:rsid w:val="00DC76DD"/>
    <w:rsid w:val="00E46D69"/>
    <w:rsid w:val="00FF2A63"/>
    <w:rsid w:val="1F200E53"/>
    <w:rsid w:val="39A6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页眉 Char"/>
    <w:basedOn w:val="5"/>
    <w:link w:val="3"/>
    <w:uiPriority w:val="99"/>
    <w:rPr>
      <w:sz w:val="20"/>
      <w:szCs w:val="20"/>
    </w:rPr>
  </w:style>
  <w:style w:type="character" w:customStyle="1" w:styleId="7">
    <w:name w:val="页脚 Char"/>
    <w:basedOn w:val="5"/>
    <w:link w:val="2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536</Characters>
  <Lines>4</Lines>
  <Paragraphs>1</Paragraphs>
  <TotalTime>10</TotalTime>
  <ScaleCrop>false</ScaleCrop>
  <LinksUpToDate>false</LinksUpToDate>
  <CharactersWithSpaces>629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2021-01-11T05:32:00Z</dcterms:created>
  <dc:creator>geming wu(吳革明)</dc:creator>
  <cp:lastModifiedBy>Administrator</cp:lastModifiedBy>
  <cp:lastPrinted>2021-01-11T05:48:00Z</cp:lastPrinted>
  <dcterms:modified xsi:type="dcterms:W3CDTF">2021-06-25T03:42:51Z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7E3FD0C40C6746179F3D37DBDD675C38</vt:lpwstr>
  </property>
</Properties>
</file>