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姚体" w:hAnsi="宋体" w:eastAsia="方正姚体"/>
          <w:color w:val="000000"/>
          <w:sz w:val="32"/>
          <w:szCs w:val="32"/>
        </w:rPr>
      </w:pPr>
    </w:p>
    <w:p>
      <w:pPr>
        <w:widowControl/>
        <w:snapToGrid w:val="0"/>
        <w:ind w:firstLine="0"/>
        <w:jc w:val="center"/>
        <w:rPr>
          <w:rFonts w:hint="eastAsia" w:ascii="宋体" w:hAnsi="宋体"/>
          <w:b/>
          <w:sz w:val="44"/>
        </w:rPr>
      </w:pPr>
      <w:r>
        <w:rPr>
          <w:rFonts w:hint="eastAsia" w:ascii="宋体" w:hAnsi="宋体"/>
          <w:b/>
          <w:sz w:val="44"/>
        </w:rPr>
        <w:t>北京华联商厦股份有限公司同成街项目</w:t>
      </w:r>
    </w:p>
    <w:p>
      <w:pPr>
        <w:snapToGrid w:val="0"/>
        <w:spacing w:line="300" w:lineRule="auto"/>
        <w:ind w:firstLine="420" w:firstLineChars="200"/>
        <w:jc w:val="center"/>
        <w:rPr>
          <w:rFonts w:ascii="方正姚体" w:hAnsi="宋体" w:eastAsia="方正姚体"/>
          <w:szCs w:val="21"/>
        </w:rPr>
      </w:pPr>
    </w:p>
    <w:p>
      <w:pPr>
        <w:snapToGrid w:val="0"/>
        <w:spacing w:line="300" w:lineRule="auto"/>
        <w:jc w:val="center"/>
        <w:rPr>
          <w:rFonts w:ascii="方正姚体" w:hAnsi="宋体" w:eastAsia="方正姚体"/>
          <w:sz w:val="72"/>
          <w:szCs w:val="72"/>
        </w:rPr>
      </w:pPr>
    </w:p>
    <w:p>
      <w:pPr>
        <w:snapToGrid w:val="0"/>
        <w:spacing w:line="300" w:lineRule="auto"/>
        <w:ind w:firstLine="2168" w:firstLineChars="200"/>
        <w:rPr>
          <w:rFonts w:ascii="方正姚体" w:hAnsi="宋体" w:eastAsia="方正姚体"/>
          <w:szCs w:val="21"/>
        </w:rPr>
      </w:pPr>
      <w:r>
        <w:rPr>
          <w:rFonts w:hint="eastAsia" w:ascii="宋体" w:hAnsi="宋体"/>
          <w:b/>
          <w:spacing w:val="60"/>
          <w:sz w:val="96"/>
        </w:rPr>
        <w:t>询比价文件</w:t>
      </w: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p>
      <w:pPr>
        <w:snapToGrid w:val="0"/>
        <w:spacing w:line="300" w:lineRule="auto"/>
        <w:jc w:val="center"/>
        <w:rPr>
          <w:rFonts w:ascii="方正姚体" w:hAnsi="宋体" w:eastAsia="方正姚体"/>
          <w:sz w:val="28"/>
          <w:szCs w:val="28"/>
        </w:rPr>
      </w:pPr>
    </w:p>
    <w:tbl>
      <w:tblPr>
        <w:tblStyle w:val="13"/>
        <w:tblW w:w="0" w:type="auto"/>
        <w:jc w:val="center"/>
        <w:tblLayout w:type="fixed"/>
        <w:tblCellMar>
          <w:top w:w="0" w:type="dxa"/>
          <w:left w:w="108" w:type="dxa"/>
          <w:bottom w:w="0" w:type="dxa"/>
          <w:right w:w="108" w:type="dxa"/>
        </w:tblCellMar>
      </w:tblPr>
      <w:tblGrid>
        <w:gridCol w:w="2391"/>
        <w:gridCol w:w="5046"/>
      </w:tblGrid>
      <w:tr>
        <w:tblPrEx>
          <w:tblCellMar>
            <w:top w:w="0" w:type="dxa"/>
            <w:left w:w="108" w:type="dxa"/>
            <w:bottom w:w="0" w:type="dxa"/>
            <w:right w:w="108" w:type="dxa"/>
          </w:tblCellMar>
        </w:tblPrEx>
        <w:trPr>
          <w:trHeight w:val="773" w:hRule="atLeast"/>
          <w:jc w:val="center"/>
        </w:trPr>
        <w:tc>
          <w:tcPr>
            <w:tcW w:w="2391"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rPr>
              <w:t xml:space="preserve">工 程 </w:t>
            </w:r>
            <w:r>
              <w:rPr>
                <w:rFonts w:ascii="宋体" w:hAnsi="宋体"/>
                <w:b/>
                <w:color w:val="auto"/>
                <w:sz w:val="32"/>
                <w:highlight w:val="none"/>
              </w:rPr>
              <w:t xml:space="preserve"> </w:t>
            </w:r>
            <w:r>
              <w:rPr>
                <w:rFonts w:hint="eastAsia" w:ascii="宋体" w:hAnsi="宋体"/>
                <w:b/>
                <w:color w:val="auto"/>
                <w:sz w:val="32"/>
                <w:highlight w:val="none"/>
              </w:rPr>
              <w:t>名 称：</w:t>
            </w:r>
          </w:p>
        </w:tc>
        <w:tc>
          <w:tcPr>
            <w:tcW w:w="5046"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28"/>
                <w:highlight w:val="none"/>
                <w:u w:val="single"/>
              </w:rPr>
            </w:pPr>
            <w:r>
              <w:rPr>
                <w:rFonts w:hint="eastAsia" w:ascii="宋体" w:hAnsi="宋体"/>
                <w:b/>
                <w:color w:val="auto"/>
                <w:sz w:val="32"/>
                <w:highlight w:val="none"/>
                <w:u w:val="single"/>
              </w:rPr>
              <w:t xml:space="preserve">   同成街店4台直燃机溶液再生及机组检漏、清洗工程                         </w:t>
            </w:r>
          </w:p>
        </w:tc>
      </w:tr>
      <w:tr>
        <w:tblPrEx>
          <w:tblCellMar>
            <w:top w:w="0" w:type="dxa"/>
            <w:left w:w="108" w:type="dxa"/>
            <w:bottom w:w="0" w:type="dxa"/>
            <w:right w:w="108" w:type="dxa"/>
          </w:tblCellMar>
        </w:tblPrEx>
        <w:trPr>
          <w:trHeight w:val="773" w:hRule="atLeast"/>
          <w:jc w:val="center"/>
        </w:trPr>
        <w:tc>
          <w:tcPr>
            <w:tcW w:w="2391"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rPr>
              <w:t>招标文件编号：</w:t>
            </w:r>
          </w:p>
        </w:tc>
        <w:tc>
          <w:tcPr>
            <w:tcW w:w="5046"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u w:val="single"/>
              </w:rPr>
              <w:t xml:space="preserve">            202</w:t>
            </w:r>
            <w:r>
              <w:rPr>
                <w:rFonts w:ascii="宋体" w:hAnsi="宋体"/>
                <w:b/>
                <w:color w:val="auto"/>
                <w:sz w:val="32"/>
                <w:highlight w:val="none"/>
                <w:u w:val="single"/>
              </w:rPr>
              <w:t>1.03</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tc>
      </w:tr>
      <w:tr>
        <w:tblPrEx>
          <w:tblCellMar>
            <w:top w:w="0" w:type="dxa"/>
            <w:left w:w="108" w:type="dxa"/>
            <w:bottom w:w="0" w:type="dxa"/>
            <w:right w:w="108" w:type="dxa"/>
          </w:tblCellMar>
        </w:tblPrEx>
        <w:trPr>
          <w:trHeight w:val="773" w:hRule="atLeast"/>
          <w:jc w:val="center"/>
        </w:trPr>
        <w:tc>
          <w:tcPr>
            <w:tcW w:w="2391"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lang w:eastAsia="zh-CN"/>
              </w:rPr>
              <w:t>投</w:t>
            </w:r>
            <w:r>
              <w:rPr>
                <w:rFonts w:hint="eastAsia" w:ascii="宋体" w:hAnsi="宋体"/>
                <w:b/>
                <w:color w:val="auto"/>
                <w:sz w:val="32"/>
                <w:highlight w:val="none"/>
                <w:lang w:val="en-US" w:eastAsia="zh-CN"/>
              </w:rPr>
              <w:t xml:space="preserve"> </w:t>
            </w:r>
            <w:r>
              <w:rPr>
                <w:rFonts w:hint="eastAsia" w:ascii="宋体" w:hAnsi="宋体"/>
                <w:b/>
                <w:color w:val="auto"/>
                <w:sz w:val="32"/>
                <w:highlight w:val="none"/>
              </w:rPr>
              <w:t>标  单 位：</w:t>
            </w:r>
          </w:p>
        </w:tc>
        <w:tc>
          <w:tcPr>
            <w:tcW w:w="5046" w:type="dxa"/>
            <w:noWrap w:val="0"/>
            <w:tcMar>
              <w:top w:w="0" w:type="dxa"/>
              <w:left w:w="108" w:type="dxa"/>
              <w:bottom w:w="0" w:type="dxa"/>
              <w:right w:w="108" w:type="dxa"/>
            </w:tcMar>
            <w:vAlign w:val="top"/>
          </w:tcPr>
          <w:p>
            <w:pPr>
              <w:tabs>
                <w:tab w:val="left" w:pos="2520"/>
                <w:tab w:val="left" w:pos="2700"/>
              </w:tabs>
              <w:snapToGrid w:val="0"/>
              <w:spacing w:line="600" w:lineRule="exact"/>
              <w:ind w:firstLine="1"/>
              <w:rPr>
                <w:rFonts w:ascii="宋体" w:hAnsi="宋体"/>
                <w:b/>
                <w:color w:val="auto"/>
                <w:sz w:val="32"/>
                <w:highlight w:val="none"/>
                <w:u w:val="single"/>
              </w:rPr>
            </w:pPr>
            <w:r>
              <w:rPr>
                <w:rFonts w:hint="eastAsia" w:ascii="宋体" w:hAnsi="宋体"/>
                <w:b/>
                <w:color w:val="auto"/>
                <w:sz w:val="32"/>
                <w:highlight w:val="none"/>
                <w:u w:val="single"/>
              </w:rPr>
              <w:t>北京</w:t>
            </w:r>
            <w:r>
              <w:rPr>
                <w:rFonts w:hint="eastAsia" w:ascii="宋体" w:hAnsi="宋体"/>
                <w:b/>
                <w:color w:val="auto"/>
                <w:sz w:val="32"/>
                <w:highlight w:val="none"/>
                <w:u w:val="single"/>
                <w:lang w:eastAsia="zh-CN"/>
              </w:rPr>
              <w:t>三汇能环科技发展</w:t>
            </w:r>
            <w:r>
              <w:rPr>
                <w:rFonts w:hint="eastAsia" w:ascii="宋体" w:hAnsi="宋体"/>
                <w:b/>
                <w:color w:val="auto"/>
                <w:sz w:val="32"/>
                <w:highlight w:val="none"/>
                <w:u w:val="single"/>
              </w:rPr>
              <w:t xml:space="preserve">有限公司                  </w:t>
            </w:r>
          </w:p>
        </w:tc>
      </w:tr>
      <w:tr>
        <w:tblPrEx>
          <w:tblCellMar>
            <w:top w:w="0" w:type="dxa"/>
            <w:left w:w="108" w:type="dxa"/>
            <w:bottom w:w="0" w:type="dxa"/>
            <w:right w:w="108" w:type="dxa"/>
          </w:tblCellMar>
        </w:tblPrEx>
        <w:trPr>
          <w:trHeight w:val="773" w:hRule="atLeast"/>
          <w:jc w:val="center"/>
        </w:trPr>
        <w:tc>
          <w:tcPr>
            <w:tcW w:w="2391"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rPr>
              <w:t>日        期：</w:t>
            </w:r>
          </w:p>
        </w:tc>
        <w:tc>
          <w:tcPr>
            <w:tcW w:w="5046" w:type="dxa"/>
            <w:noWrap w:val="0"/>
            <w:tcMar>
              <w:top w:w="0" w:type="dxa"/>
              <w:left w:w="108" w:type="dxa"/>
              <w:bottom w:w="0" w:type="dxa"/>
              <w:right w:w="108" w:type="dxa"/>
            </w:tcMar>
            <w:vAlign w:val="top"/>
          </w:tcPr>
          <w:p>
            <w:pPr>
              <w:tabs>
                <w:tab w:val="left" w:pos="2520"/>
                <w:tab w:val="left" w:pos="2700"/>
              </w:tabs>
              <w:snapToGrid w:val="0"/>
              <w:spacing w:line="600" w:lineRule="exact"/>
              <w:ind w:firstLine="0"/>
              <w:rPr>
                <w:rFonts w:ascii="宋体" w:hAnsi="宋体"/>
                <w:b/>
                <w:color w:val="auto"/>
                <w:sz w:val="32"/>
                <w:highlight w:val="none"/>
              </w:rPr>
            </w:pPr>
            <w:r>
              <w:rPr>
                <w:rFonts w:hint="eastAsia" w:ascii="宋体" w:hAnsi="宋体"/>
                <w:b/>
                <w:color w:val="auto"/>
                <w:sz w:val="32"/>
                <w:highlight w:val="none"/>
                <w:u w:val="single"/>
              </w:rPr>
              <w:t xml:space="preserve">       202</w:t>
            </w:r>
            <w:r>
              <w:rPr>
                <w:rFonts w:ascii="宋体" w:hAnsi="宋体"/>
                <w:b/>
                <w:color w:val="auto"/>
                <w:sz w:val="32"/>
                <w:highlight w:val="none"/>
                <w:u w:val="single"/>
              </w:rPr>
              <w:t>1</w:t>
            </w:r>
            <w:r>
              <w:rPr>
                <w:rFonts w:hint="eastAsia" w:ascii="宋体" w:hAnsi="宋体"/>
                <w:b/>
                <w:color w:val="auto"/>
                <w:sz w:val="32"/>
                <w:highlight w:val="none"/>
                <w:u w:val="single"/>
                <w:lang w:eastAsia="zh-CN"/>
              </w:rPr>
              <w:t>年</w:t>
            </w:r>
            <w:r>
              <w:rPr>
                <w:rFonts w:hint="eastAsia" w:ascii="宋体" w:hAnsi="宋体"/>
                <w:b/>
                <w:color w:val="auto"/>
                <w:sz w:val="32"/>
                <w:highlight w:val="none"/>
                <w:u w:val="single"/>
                <w:lang w:val="en-US" w:eastAsia="zh-CN"/>
              </w:rPr>
              <w:t>4月25日</w:t>
            </w:r>
            <w:r>
              <w:rPr>
                <w:rFonts w:hint="eastAsia" w:ascii="宋体" w:hAnsi="宋体"/>
                <w:b/>
                <w:color w:val="auto"/>
                <w:sz w:val="32"/>
                <w:highlight w:val="none"/>
                <w:u w:val="single"/>
              </w:rPr>
              <w:t xml:space="preserve">                     </w:t>
            </w:r>
          </w:p>
        </w:tc>
      </w:tr>
    </w:tbl>
    <w:p>
      <w:pPr>
        <w:snapToGrid w:val="0"/>
        <w:spacing w:line="300" w:lineRule="auto"/>
        <w:jc w:val="center"/>
        <w:rPr>
          <w:rFonts w:ascii="方正姚体" w:hAnsi="宋体" w:eastAsia="方正姚体"/>
          <w:sz w:val="28"/>
          <w:szCs w:val="28"/>
        </w:rPr>
      </w:pPr>
    </w:p>
    <w:p>
      <w:pPr>
        <w:pStyle w:val="3"/>
        <w:bidi w:val="0"/>
        <w:ind w:firstLine="2650" w:firstLineChars="600"/>
        <w:rPr>
          <w:rFonts w:hint="eastAsia"/>
          <w:lang w:eastAsia="zh-CN"/>
        </w:rPr>
        <w:sectPr>
          <w:headerReference r:id="rId3" w:type="default"/>
          <w:footerReference r:id="rId4" w:type="default"/>
          <w:pgSz w:w="11906" w:h="16838"/>
          <w:pgMar w:top="1247" w:right="1418" w:bottom="454" w:left="1418" w:header="851" w:footer="992" w:gutter="0"/>
          <w:pgNumType w:fmt="decimal"/>
          <w:cols w:space="720" w:num="1"/>
          <w:docGrid w:linePitch="312" w:charSpace="0"/>
        </w:sectPr>
      </w:pPr>
      <w:bookmarkStart w:id="0" w:name="_Toc3986"/>
    </w:p>
    <w:p>
      <w:pPr>
        <w:pStyle w:val="3"/>
        <w:bidi w:val="0"/>
        <w:ind w:firstLine="3092" w:firstLineChars="700"/>
        <w:rPr>
          <w:rFonts w:ascii="华文中宋" w:hAnsi="华文中宋" w:eastAsia="华文中宋"/>
          <w:b w:val="0"/>
          <w:sz w:val="30"/>
          <w:szCs w:val="30"/>
        </w:rPr>
      </w:pPr>
      <w:r>
        <w:rPr>
          <w:rFonts w:hint="eastAsia"/>
          <w:lang w:eastAsia="zh-CN"/>
        </w:rPr>
        <w:t>一、</w:t>
      </w:r>
      <w:bookmarkEnd w:id="0"/>
      <w:r>
        <w:rPr>
          <w:rFonts w:hint="eastAsia"/>
          <w:lang w:eastAsia="zh-CN"/>
        </w:rPr>
        <w:t>投标函</w:t>
      </w:r>
    </w:p>
    <w:p>
      <w:pPr>
        <w:snapToGrid w:val="0"/>
        <w:spacing w:line="300" w:lineRule="auto"/>
        <w:rPr>
          <w:rFonts w:ascii="宋体" w:hAnsi="宋体"/>
          <w:sz w:val="24"/>
          <w:u w:val="single"/>
        </w:rPr>
      </w:pPr>
    </w:p>
    <w:p>
      <w:pPr>
        <w:snapToGrid w:val="0"/>
        <w:spacing w:line="360" w:lineRule="auto"/>
        <w:rPr>
          <w:rFonts w:hint="eastAsia" w:ascii="宋体" w:hAnsi="宋体"/>
          <w:sz w:val="24"/>
          <w:u w:val="single"/>
        </w:rPr>
      </w:pPr>
      <w:r>
        <w:rPr>
          <w:rFonts w:hint="eastAsia" w:ascii="宋体" w:hAnsi="宋体"/>
          <w:sz w:val="24"/>
          <w:lang w:eastAsia="zh-CN"/>
        </w:rPr>
        <w:t>致：</w:t>
      </w:r>
      <w:r>
        <w:rPr>
          <w:rFonts w:hint="eastAsia" w:ascii="宋体" w:hAnsi="宋体"/>
          <w:sz w:val="24"/>
          <w:u w:val="single"/>
          <w:lang w:eastAsia="zh-CN"/>
        </w:rPr>
        <w:t>北京华联回龙观购物中心有限公司</w:t>
      </w:r>
      <w:r>
        <w:rPr>
          <w:rFonts w:hint="eastAsia" w:ascii="宋体" w:hAnsi="宋体"/>
          <w:sz w:val="24"/>
        </w:rPr>
        <w:t xml:space="preserve">: </w:t>
      </w:r>
      <w:bookmarkStart w:id="1" w:name="_Toc17074"/>
    </w:p>
    <w:p>
      <w:pPr>
        <w:tabs>
          <w:tab w:val="left" w:pos="7560"/>
        </w:tabs>
        <w:autoSpaceDE w:val="0"/>
        <w:autoSpaceDN w:val="0"/>
        <w:spacing w:line="440" w:lineRule="exact"/>
        <w:ind w:firstLine="420"/>
        <w:rPr>
          <w:rFonts w:hint="eastAsia" w:ascii="宋体" w:hAnsi="宋体"/>
          <w:sz w:val="21"/>
        </w:rPr>
      </w:pPr>
      <w:r>
        <w:rPr>
          <w:rFonts w:hint="eastAsia" w:ascii="宋体" w:hAnsi="宋体"/>
          <w:sz w:val="21"/>
        </w:rPr>
        <w:t>根据贵方编号为</w:t>
      </w:r>
      <w:r>
        <w:rPr>
          <w:rFonts w:ascii="宋体" w:hAnsi="宋体"/>
          <w:sz w:val="21"/>
        </w:rPr>
        <w:t xml:space="preserve"> </w:t>
      </w:r>
      <w:r>
        <w:rPr>
          <w:rFonts w:ascii="宋体" w:hAnsi="宋体"/>
          <w:sz w:val="21"/>
          <w:u w:val="single"/>
        </w:rPr>
        <w:t xml:space="preserve"> </w:t>
      </w:r>
      <w:r>
        <w:rPr>
          <w:rFonts w:hint="eastAsia" w:ascii="宋体" w:hAnsi="宋体"/>
          <w:sz w:val="21"/>
          <w:u w:val="single"/>
          <w:lang w:val="en-US" w:eastAsia="zh-CN"/>
        </w:rPr>
        <w:t>2021.03</w:t>
      </w:r>
      <w:r>
        <w:rPr>
          <w:rFonts w:ascii="宋体" w:hAnsi="宋体"/>
          <w:sz w:val="21"/>
          <w:u w:val="single"/>
        </w:rPr>
        <w:t xml:space="preserve">  </w:t>
      </w:r>
      <w:r>
        <w:rPr>
          <w:rFonts w:ascii="宋体" w:hAnsi="宋体"/>
          <w:sz w:val="21"/>
        </w:rPr>
        <w:t xml:space="preserve"> </w:t>
      </w:r>
      <w:r>
        <w:rPr>
          <w:rFonts w:hint="eastAsia" w:ascii="宋体" w:hAnsi="宋体"/>
          <w:sz w:val="21"/>
        </w:rPr>
        <w:t>的</w:t>
      </w:r>
      <w:r>
        <w:rPr>
          <w:rFonts w:ascii="宋体" w:hAnsi="宋体"/>
          <w:sz w:val="21"/>
          <w:u w:val="single"/>
        </w:rPr>
        <w:t xml:space="preserve"> </w:t>
      </w:r>
      <w:r>
        <w:rPr>
          <w:rFonts w:hint="eastAsia" w:ascii="宋体" w:hAnsi="宋体"/>
          <w:sz w:val="21"/>
          <w:u w:val="single"/>
          <w:lang w:eastAsia="zh-CN"/>
        </w:rPr>
        <w:t>同成街店</w:t>
      </w:r>
      <w:r>
        <w:rPr>
          <w:rFonts w:hint="eastAsia" w:ascii="宋体" w:hAnsi="宋体"/>
          <w:sz w:val="21"/>
          <w:u w:val="single"/>
          <w:lang w:val="en-US" w:eastAsia="zh-CN"/>
        </w:rPr>
        <w:t>4台直燃机溶液再生及机组捡漏、清洗工程的</w:t>
      </w:r>
      <w:r>
        <w:rPr>
          <w:rFonts w:hint="eastAsia" w:ascii="宋体" w:hAnsi="宋体"/>
          <w:sz w:val="21"/>
          <w:u w:val="single"/>
        </w:rPr>
        <w:t xml:space="preserve"> </w:t>
      </w:r>
      <w:r>
        <w:rPr>
          <w:rFonts w:hint="eastAsia" w:ascii="宋体" w:hAnsi="宋体"/>
          <w:b/>
          <w:bCs/>
          <w:sz w:val="21"/>
          <w:u w:val="single"/>
        </w:rPr>
        <w:t xml:space="preserve"> </w:t>
      </w:r>
      <w:r>
        <w:rPr>
          <w:rFonts w:ascii="宋体" w:hAnsi="宋体"/>
          <w:b/>
          <w:bCs/>
          <w:sz w:val="21"/>
          <w:u w:val="single"/>
        </w:rPr>
        <w:t xml:space="preserve">  </w:t>
      </w:r>
      <w:r>
        <w:rPr>
          <w:rFonts w:ascii="宋体" w:hAnsi="宋体"/>
          <w:sz w:val="21"/>
          <w:u w:val="single"/>
        </w:rPr>
        <w:t xml:space="preserve"> </w:t>
      </w:r>
      <w:r>
        <w:rPr>
          <w:rFonts w:hint="eastAsia" w:ascii="宋体" w:hAnsi="宋体"/>
          <w:sz w:val="21"/>
          <w:u w:val="single"/>
        </w:rPr>
        <w:t xml:space="preserve"> </w:t>
      </w:r>
      <w:r>
        <w:rPr>
          <w:rFonts w:ascii="宋体" w:hAnsi="宋体"/>
          <w:sz w:val="21"/>
          <w:u w:val="single"/>
        </w:rPr>
        <w:t xml:space="preserve">  </w:t>
      </w:r>
      <w:r>
        <w:rPr>
          <w:rFonts w:hint="eastAsia" w:ascii="宋体" w:hAnsi="宋体"/>
          <w:sz w:val="21"/>
        </w:rPr>
        <w:t>招标文件，遵照招标投标法等有关规定，经踏勘项目现场和研究上述招标文件的投标须知、合同条款、技术要求等文件后，我方愿意参加该设计的投标</w:t>
      </w:r>
      <w:r>
        <w:rPr>
          <w:rFonts w:ascii="宋体" w:hAnsi="宋体"/>
          <w:sz w:val="21"/>
        </w:rPr>
        <w:t>,</w:t>
      </w:r>
      <w:r>
        <w:rPr>
          <w:rFonts w:hint="eastAsia" w:ascii="宋体" w:hAnsi="宋体"/>
          <w:sz w:val="21"/>
        </w:rPr>
        <w:t>随同本函我方提供以下文件：</w:t>
      </w:r>
      <w:r>
        <w:rPr>
          <w:rFonts w:ascii="宋体" w:hAnsi="宋体"/>
          <w:sz w:val="21"/>
        </w:rPr>
        <w:t xml:space="preserve"> </w:t>
      </w:r>
    </w:p>
    <w:p>
      <w:pPr>
        <w:pStyle w:val="4"/>
        <w:jc w:val="center"/>
        <w:rPr>
          <w:rFonts w:hint="eastAsia" w:ascii="华文中宋" w:hAnsi="华文中宋" w:eastAsia="华文中宋"/>
          <w:b w:val="0"/>
          <w:sz w:val="30"/>
          <w:szCs w:val="30"/>
          <w:lang w:eastAsia="zh-CN"/>
        </w:rPr>
      </w:pPr>
      <w:r>
        <w:rPr>
          <w:rFonts w:hint="eastAsia" w:ascii="华文中宋" w:hAnsi="华文中宋" w:eastAsia="华文中宋"/>
          <w:b w:val="0"/>
          <w:sz w:val="30"/>
          <w:szCs w:val="30"/>
        </w:rPr>
        <w:t>（</w:t>
      </w:r>
      <w:r>
        <w:rPr>
          <w:rFonts w:hint="eastAsia" w:ascii="华文中宋" w:hAnsi="华文中宋" w:eastAsia="华文中宋"/>
          <w:b w:val="0"/>
          <w:sz w:val="30"/>
          <w:szCs w:val="30"/>
          <w:lang w:eastAsia="zh-CN"/>
        </w:rPr>
        <w:t>一</w:t>
      </w:r>
      <w:r>
        <w:rPr>
          <w:rFonts w:hint="eastAsia" w:ascii="华文中宋" w:hAnsi="华文中宋" w:eastAsia="华文中宋"/>
          <w:b w:val="0"/>
          <w:sz w:val="30"/>
          <w:szCs w:val="30"/>
        </w:rPr>
        <w:t>）</w:t>
      </w:r>
      <w:r>
        <w:rPr>
          <w:rFonts w:hint="eastAsia" w:ascii="华文中宋" w:hAnsi="华文中宋" w:eastAsia="华文中宋"/>
          <w:b w:val="0"/>
          <w:sz w:val="30"/>
          <w:szCs w:val="30"/>
          <w:lang w:eastAsia="zh-CN"/>
        </w:rPr>
        <w:t>投标</w:t>
      </w:r>
      <w:r>
        <w:rPr>
          <w:rFonts w:hint="eastAsia" w:ascii="华文中宋" w:hAnsi="华文中宋" w:eastAsia="华文中宋"/>
          <w:b w:val="0"/>
          <w:sz w:val="30"/>
          <w:szCs w:val="30"/>
        </w:rPr>
        <w:t>函附</w:t>
      </w:r>
      <w:bookmarkEnd w:id="1"/>
      <w:r>
        <w:rPr>
          <w:rFonts w:hint="eastAsia" w:ascii="华文中宋" w:hAnsi="华文中宋" w:eastAsia="华文中宋"/>
          <w:b w:val="0"/>
          <w:sz w:val="30"/>
          <w:szCs w:val="30"/>
          <w:lang w:eastAsia="zh-CN"/>
        </w:rPr>
        <w:t>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00"/>
        <w:gridCol w:w="1543"/>
        <w:gridCol w:w="244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序号</w:t>
            </w:r>
          </w:p>
        </w:tc>
        <w:tc>
          <w:tcPr>
            <w:tcW w:w="2400" w:type="dxa"/>
            <w:vAlign w:val="center"/>
          </w:tcPr>
          <w:p>
            <w:pPr>
              <w:snapToGrid w:val="0"/>
              <w:spacing w:line="300" w:lineRule="auto"/>
              <w:rPr>
                <w:rFonts w:ascii="宋体" w:hAnsi="宋体"/>
                <w:sz w:val="24"/>
              </w:rPr>
            </w:pPr>
            <w:r>
              <w:rPr>
                <w:rFonts w:hint="eastAsia" w:ascii="宋体" w:hAnsi="宋体"/>
                <w:sz w:val="24"/>
              </w:rPr>
              <w:t>条款名称</w:t>
            </w:r>
          </w:p>
        </w:tc>
        <w:tc>
          <w:tcPr>
            <w:tcW w:w="1543" w:type="dxa"/>
            <w:vAlign w:val="center"/>
          </w:tcPr>
          <w:p>
            <w:pPr>
              <w:snapToGrid w:val="0"/>
              <w:spacing w:line="300" w:lineRule="auto"/>
              <w:rPr>
                <w:rFonts w:ascii="宋体" w:hAnsi="宋体"/>
                <w:sz w:val="24"/>
              </w:rPr>
            </w:pPr>
            <w:r>
              <w:rPr>
                <w:rFonts w:hint="eastAsia" w:ascii="宋体" w:hAnsi="宋体"/>
                <w:sz w:val="24"/>
              </w:rPr>
              <w:t>合同条款号</w:t>
            </w:r>
          </w:p>
        </w:tc>
        <w:tc>
          <w:tcPr>
            <w:tcW w:w="2440" w:type="dxa"/>
            <w:vAlign w:val="center"/>
          </w:tcPr>
          <w:p>
            <w:pPr>
              <w:snapToGrid w:val="0"/>
              <w:spacing w:line="300" w:lineRule="auto"/>
              <w:rPr>
                <w:rFonts w:ascii="宋体" w:hAnsi="宋体"/>
                <w:sz w:val="24"/>
              </w:rPr>
            </w:pPr>
            <w:r>
              <w:rPr>
                <w:rFonts w:hint="eastAsia" w:ascii="宋体" w:hAnsi="宋体"/>
                <w:sz w:val="24"/>
              </w:rPr>
              <w:t>约定内容</w:t>
            </w:r>
          </w:p>
        </w:tc>
        <w:tc>
          <w:tcPr>
            <w:tcW w:w="1027" w:type="dxa"/>
            <w:vAlign w:val="center"/>
          </w:tcPr>
          <w:p>
            <w:pPr>
              <w:snapToGrid w:val="0"/>
              <w:spacing w:line="30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1</w:t>
            </w:r>
          </w:p>
        </w:tc>
        <w:tc>
          <w:tcPr>
            <w:tcW w:w="2400" w:type="dxa"/>
            <w:vAlign w:val="center"/>
          </w:tcPr>
          <w:p>
            <w:pPr>
              <w:snapToGrid w:val="0"/>
              <w:spacing w:line="300" w:lineRule="auto"/>
              <w:rPr>
                <w:rFonts w:ascii="宋体" w:hAnsi="宋体"/>
                <w:sz w:val="24"/>
              </w:rPr>
            </w:pPr>
            <w:r>
              <w:rPr>
                <w:rFonts w:hint="eastAsia" w:ascii="宋体" w:hAnsi="宋体"/>
                <w:sz w:val="24"/>
              </w:rPr>
              <w:t>项目经理</w:t>
            </w:r>
          </w:p>
        </w:tc>
        <w:tc>
          <w:tcPr>
            <w:tcW w:w="1543" w:type="dxa"/>
            <w:vAlign w:val="center"/>
          </w:tcPr>
          <w:p>
            <w:pPr>
              <w:snapToGrid w:val="0"/>
              <w:spacing w:line="300" w:lineRule="auto"/>
              <w:rPr>
                <w:rFonts w:ascii="宋体" w:hAnsi="宋体"/>
                <w:sz w:val="24"/>
              </w:rPr>
            </w:pPr>
          </w:p>
        </w:tc>
        <w:tc>
          <w:tcPr>
            <w:tcW w:w="2440" w:type="dxa"/>
            <w:vAlign w:val="center"/>
          </w:tcPr>
          <w:p>
            <w:pPr>
              <w:snapToGrid w:val="0"/>
              <w:spacing w:line="300" w:lineRule="auto"/>
              <w:rPr>
                <w:rFonts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陆超超</w:t>
            </w:r>
            <w:r>
              <w:rPr>
                <w:rFonts w:hint="eastAsia" w:ascii="宋体" w:hAnsi="宋体"/>
                <w:sz w:val="24"/>
                <w:u w:val="single"/>
              </w:rPr>
              <w:t xml:space="preserve"> </w:t>
            </w:r>
          </w:p>
        </w:tc>
        <w:tc>
          <w:tcPr>
            <w:tcW w:w="1027" w:type="dxa"/>
            <w:vAlign w:val="center"/>
          </w:tcPr>
          <w:p>
            <w:pPr>
              <w:snapToGrid w:val="0"/>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2</w:t>
            </w:r>
          </w:p>
        </w:tc>
        <w:tc>
          <w:tcPr>
            <w:tcW w:w="2400" w:type="dxa"/>
            <w:vAlign w:val="center"/>
          </w:tcPr>
          <w:p>
            <w:pPr>
              <w:snapToGrid w:val="0"/>
              <w:spacing w:line="300" w:lineRule="auto"/>
              <w:rPr>
                <w:rFonts w:ascii="宋体" w:hAnsi="宋体"/>
                <w:sz w:val="24"/>
              </w:rPr>
            </w:pPr>
            <w:r>
              <w:rPr>
                <w:rFonts w:hint="eastAsia" w:ascii="宋体" w:hAnsi="宋体"/>
                <w:sz w:val="24"/>
              </w:rPr>
              <w:t>工期</w:t>
            </w:r>
          </w:p>
        </w:tc>
        <w:tc>
          <w:tcPr>
            <w:tcW w:w="1543" w:type="dxa"/>
            <w:vAlign w:val="center"/>
          </w:tcPr>
          <w:p>
            <w:pPr>
              <w:snapToGrid w:val="0"/>
              <w:spacing w:line="300" w:lineRule="auto"/>
              <w:rPr>
                <w:rFonts w:ascii="宋体" w:hAnsi="宋体"/>
                <w:sz w:val="24"/>
              </w:rPr>
            </w:pPr>
          </w:p>
        </w:tc>
        <w:tc>
          <w:tcPr>
            <w:tcW w:w="2440" w:type="dxa"/>
            <w:vAlign w:val="center"/>
          </w:tcPr>
          <w:p>
            <w:pPr>
              <w:snapToGrid w:val="0"/>
              <w:spacing w:line="300" w:lineRule="auto"/>
              <w:rPr>
                <w:rFonts w:ascii="宋体" w:hAnsi="宋体"/>
                <w:sz w:val="24"/>
                <w:u w:val="single"/>
              </w:rPr>
            </w:pPr>
            <w:r>
              <w:rPr>
                <w:rFonts w:hint="eastAsia" w:ascii="宋体" w:hAnsi="宋体"/>
                <w:sz w:val="24"/>
              </w:rPr>
              <w:t>天数：</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日历天</w:t>
            </w:r>
          </w:p>
        </w:tc>
        <w:tc>
          <w:tcPr>
            <w:tcW w:w="1027" w:type="dxa"/>
            <w:vAlign w:val="center"/>
          </w:tcPr>
          <w:p>
            <w:pPr>
              <w:snapToGrid w:val="0"/>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3</w:t>
            </w:r>
          </w:p>
        </w:tc>
        <w:tc>
          <w:tcPr>
            <w:tcW w:w="2400" w:type="dxa"/>
            <w:vAlign w:val="center"/>
          </w:tcPr>
          <w:p>
            <w:pPr>
              <w:snapToGrid w:val="0"/>
              <w:spacing w:line="300" w:lineRule="auto"/>
              <w:rPr>
                <w:rFonts w:ascii="宋体" w:hAnsi="宋体"/>
                <w:sz w:val="24"/>
              </w:rPr>
            </w:pPr>
            <w:r>
              <w:rPr>
                <w:rFonts w:hint="eastAsia" w:ascii="宋体" w:hAnsi="宋体"/>
                <w:sz w:val="24"/>
              </w:rPr>
              <w:t>缺陷责任期</w:t>
            </w:r>
          </w:p>
        </w:tc>
        <w:tc>
          <w:tcPr>
            <w:tcW w:w="1543" w:type="dxa"/>
            <w:vAlign w:val="center"/>
          </w:tcPr>
          <w:p>
            <w:pPr>
              <w:snapToGrid w:val="0"/>
              <w:spacing w:line="300" w:lineRule="auto"/>
              <w:rPr>
                <w:rFonts w:ascii="宋体" w:hAnsi="宋体"/>
                <w:sz w:val="24"/>
              </w:rPr>
            </w:pPr>
          </w:p>
        </w:tc>
        <w:tc>
          <w:tcPr>
            <w:tcW w:w="2440" w:type="dxa"/>
            <w:vAlign w:val="center"/>
          </w:tcPr>
          <w:p>
            <w:pPr>
              <w:snapToGrid w:val="0"/>
              <w:spacing w:line="300" w:lineRule="auto"/>
              <w:rPr>
                <w:rFonts w:ascii="宋体" w:hAnsi="宋体"/>
                <w:sz w:val="24"/>
              </w:rPr>
            </w:pPr>
            <w:r>
              <w:rPr>
                <w:rFonts w:hint="eastAsia" w:ascii="宋体" w:hAnsi="宋体"/>
                <w:sz w:val="24"/>
                <w:lang w:val="en-US" w:eastAsia="zh-CN"/>
              </w:rPr>
              <w:t>2</w:t>
            </w:r>
            <w:r>
              <w:rPr>
                <w:rFonts w:hint="eastAsia" w:ascii="宋体" w:hAnsi="宋体"/>
                <w:sz w:val="24"/>
              </w:rPr>
              <w:t>年</w:t>
            </w:r>
          </w:p>
        </w:tc>
        <w:tc>
          <w:tcPr>
            <w:tcW w:w="1027" w:type="dxa"/>
            <w:vAlign w:val="center"/>
          </w:tcPr>
          <w:p>
            <w:pPr>
              <w:snapToGrid w:val="0"/>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4</w:t>
            </w:r>
          </w:p>
        </w:tc>
        <w:tc>
          <w:tcPr>
            <w:tcW w:w="2400" w:type="dxa"/>
            <w:vAlign w:val="center"/>
          </w:tcPr>
          <w:p>
            <w:pPr>
              <w:snapToGrid w:val="0"/>
              <w:spacing w:line="300" w:lineRule="auto"/>
              <w:rPr>
                <w:rFonts w:hint="default" w:ascii="宋体" w:hAnsi="宋体" w:eastAsia="宋体"/>
                <w:sz w:val="24"/>
                <w:lang w:val="en-US" w:eastAsia="zh-CN"/>
              </w:rPr>
            </w:pPr>
            <w:r>
              <w:rPr>
                <w:rFonts w:hint="eastAsia" w:ascii="宋体" w:hAnsi="宋体"/>
                <w:sz w:val="24"/>
                <w:lang w:val="en-US" w:eastAsia="zh-CN"/>
              </w:rPr>
              <w:t>承包方式</w:t>
            </w:r>
          </w:p>
        </w:tc>
        <w:tc>
          <w:tcPr>
            <w:tcW w:w="1543" w:type="dxa"/>
            <w:vAlign w:val="center"/>
          </w:tcPr>
          <w:p>
            <w:pPr>
              <w:snapToGrid w:val="0"/>
              <w:spacing w:line="300" w:lineRule="auto"/>
              <w:rPr>
                <w:rFonts w:ascii="宋体" w:hAnsi="宋体"/>
                <w:sz w:val="24"/>
              </w:rPr>
            </w:pPr>
          </w:p>
        </w:tc>
        <w:tc>
          <w:tcPr>
            <w:tcW w:w="2440" w:type="dxa"/>
            <w:vAlign w:val="center"/>
          </w:tcPr>
          <w:p>
            <w:pPr>
              <w:snapToGrid w:val="0"/>
              <w:spacing w:line="300" w:lineRule="auto"/>
              <w:rPr>
                <w:rFonts w:hint="default" w:ascii="宋体" w:hAnsi="宋体" w:eastAsia="宋体"/>
                <w:sz w:val="24"/>
                <w:lang w:val="en-US" w:eastAsia="zh-CN"/>
              </w:rPr>
            </w:pPr>
            <w:r>
              <w:rPr>
                <w:rFonts w:hint="eastAsia" w:ascii="宋体" w:hAnsi="宋体"/>
                <w:sz w:val="24"/>
                <w:lang w:val="en-US" w:eastAsia="zh-CN"/>
              </w:rPr>
              <w:t>包工、包料、包安全、包质量、包工期、包总价</w:t>
            </w:r>
          </w:p>
        </w:tc>
        <w:tc>
          <w:tcPr>
            <w:tcW w:w="1027" w:type="dxa"/>
            <w:vAlign w:val="center"/>
          </w:tcPr>
          <w:p>
            <w:pPr>
              <w:snapToGrid w:val="0"/>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3" w:type="dxa"/>
            <w:vAlign w:val="center"/>
          </w:tcPr>
          <w:p>
            <w:pPr>
              <w:snapToGrid w:val="0"/>
              <w:spacing w:line="300" w:lineRule="auto"/>
              <w:rPr>
                <w:rFonts w:ascii="宋体" w:hAnsi="宋体"/>
                <w:sz w:val="24"/>
              </w:rPr>
            </w:pPr>
            <w:r>
              <w:rPr>
                <w:rFonts w:hint="eastAsia" w:ascii="宋体" w:hAnsi="宋体"/>
                <w:sz w:val="24"/>
              </w:rPr>
              <w:t>5</w:t>
            </w:r>
          </w:p>
        </w:tc>
        <w:tc>
          <w:tcPr>
            <w:tcW w:w="2400" w:type="dxa"/>
            <w:vAlign w:val="center"/>
          </w:tcPr>
          <w:p>
            <w:pPr>
              <w:snapToGrid w:val="0"/>
              <w:spacing w:line="300" w:lineRule="auto"/>
              <w:rPr>
                <w:rFonts w:ascii="宋体" w:hAnsi="宋体"/>
                <w:sz w:val="24"/>
              </w:rPr>
            </w:pPr>
            <w:r>
              <w:rPr>
                <w:rFonts w:hint="eastAsia" w:ascii="宋体" w:hAnsi="宋体"/>
                <w:sz w:val="24"/>
              </w:rPr>
              <w:t>质量</w:t>
            </w:r>
          </w:p>
        </w:tc>
        <w:tc>
          <w:tcPr>
            <w:tcW w:w="1543" w:type="dxa"/>
            <w:vAlign w:val="center"/>
          </w:tcPr>
          <w:p>
            <w:pPr>
              <w:snapToGrid w:val="0"/>
              <w:spacing w:line="300" w:lineRule="auto"/>
              <w:rPr>
                <w:rFonts w:ascii="宋体" w:hAnsi="宋体"/>
                <w:sz w:val="24"/>
              </w:rPr>
            </w:pPr>
          </w:p>
        </w:tc>
        <w:tc>
          <w:tcPr>
            <w:tcW w:w="2440" w:type="dxa"/>
            <w:vAlign w:val="center"/>
          </w:tcPr>
          <w:p>
            <w:pPr>
              <w:snapToGrid w:val="0"/>
              <w:spacing w:line="300" w:lineRule="auto"/>
              <w:jc w:val="center"/>
              <w:rPr>
                <w:rFonts w:hint="default" w:ascii="宋体" w:hAnsi="宋体" w:eastAsia="宋体"/>
                <w:sz w:val="24"/>
                <w:lang w:val="en-US" w:eastAsia="zh-CN"/>
              </w:rPr>
            </w:pPr>
            <w:r>
              <w:rPr>
                <w:rFonts w:hint="eastAsia" w:ascii="宋体" w:hAnsi="宋体"/>
                <w:sz w:val="24"/>
              </w:rPr>
              <w:t>符合技术要求和达到</w:t>
            </w:r>
            <w:r>
              <w:rPr>
                <w:rFonts w:hint="eastAsia" w:ascii="宋体" w:hAnsi="宋体"/>
                <w:sz w:val="24"/>
                <w:lang w:val="en-US" w:eastAsia="zh-CN"/>
              </w:rPr>
              <w:t>合格等级</w:t>
            </w:r>
          </w:p>
        </w:tc>
        <w:tc>
          <w:tcPr>
            <w:tcW w:w="1027" w:type="dxa"/>
            <w:vAlign w:val="center"/>
          </w:tcPr>
          <w:p>
            <w:pPr>
              <w:snapToGrid w:val="0"/>
              <w:spacing w:line="300" w:lineRule="auto"/>
              <w:rPr>
                <w:rFonts w:ascii="宋体" w:hAnsi="宋体"/>
                <w:sz w:val="24"/>
              </w:rPr>
            </w:pPr>
          </w:p>
        </w:tc>
      </w:tr>
    </w:tbl>
    <w:p>
      <w:pPr>
        <w:snapToGrid w:val="0"/>
        <w:spacing w:line="300" w:lineRule="auto"/>
        <w:rPr>
          <w:rFonts w:ascii="宋体" w:hAnsi="宋体"/>
        </w:rPr>
      </w:pPr>
      <w:r>
        <w:rPr>
          <w:rFonts w:hint="eastAsia" w:ascii="宋体" w:hAnsi="宋体"/>
        </w:rPr>
        <w:t xml:space="preserve">                                    </w:t>
      </w:r>
    </w:p>
    <w:p>
      <w:pPr>
        <w:snapToGrid w:val="0"/>
        <w:spacing w:line="300" w:lineRule="auto"/>
        <w:rPr>
          <w:rFonts w:ascii="宋体" w:hAnsi="宋体"/>
          <w:sz w:val="24"/>
        </w:rPr>
      </w:pPr>
    </w:p>
    <w:p>
      <w:pPr>
        <w:snapToGrid w:val="0"/>
        <w:spacing w:line="300" w:lineRule="auto"/>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napToGrid w:val="0"/>
        <w:spacing w:line="360" w:lineRule="auto"/>
        <w:jc w:val="both"/>
        <w:rPr>
          <w:rFonts w:ascii="宋体" w:hAnsi="宋体"/>
          <w:b/>
          <w:sz w:val="24"/>
        </w:rPr>
      </w:pPr>
    </w:p>
    <w:p>
      <w:pPr>
        <w:snapToGrid w:val="0"/>
        <w:spacing w:line="300" w:lineRule="auto"/>
        <w:jc w:val="both"/>
        <w:rPr>
          <w:rFonts w:ascii="宋体" w:hAnsi="宋体"/>
          <w:b/>
          <w:sz w:val="24"/>
        </w:rPr>
        <w:sectPr>
          <w:footerReference r:id="rId5" w:type="default"/>
          <w:pgSz w:w="11906" w:h="16838"/>
          <w:pgMar w:top="1247" w:right="1418" w:bottom="454" w:left="1418" w:header="851" w:footer="992" w:gutter="0"/>
          <w:pgNumType w:fmt="decimal" w:start="1"/>
          <w:cols w:space="720" w:num="1"/>
          <w:docGrid w:linePitch="312" w:charSpace="0"/>
        </w:sectPr>
      </w:pPr>
    </w:p>
    <w:p>
      <w:pPr>
        <w:pStyle w:val="3"/>
        <w:spacing w:line="360" w:lineRule="auto"/>
        <w:jc w:val="center"/>
        <w:rPr>
          <w:rFonts w:ascii="华文中宋" w:hAnsi="华文中宋" w:eastAsia="华文中宋"/>
          <w:b w:val="0"/>
          <w:sz w:val="36"/>
          <w:szCs w:val="36"/>
        </w:rPr>
      </w:pPr>
      <w:r>
        <w:rPr>
          <w:rFonts w:hint="eastAsia" w:ascii="华文中宋" w:hAnsi="华文中宋" w:eastAsia="华文中宋"/>
          <w:b w:val="0"/>
          <w:sz w:val="36"/>
          <w:szCs w:val="36"/>
          <w:lang w:eastAsia="zh-CN"/>
        </w:rPr>
        <w:t>二</w:t>
      </w:r>
      <w:r>
        <w:rPr>
          <w:rFonts w:hint="eastAsia" w:ascii="华文中宋" w:hAnsi="华文中宋" w:eastAsia="华文中宋"/>
          <w:b w:val="0"/>
          <w:sz w:val="36"/>
          <w:szCs w:val="36"/>
        </w:rPr>
        <w:t>、授权委托书</w:t>
      </w:r>
    </w:p>
    <w:p>
      <w:pPr>
        <w:snapToGrid w:val="0"/>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w:t>
      </w:r>
      <w:r>
        <w:rPr>
          <w:rFonts w:hint="eastAsia" w:asciiTheme="minorEastAsia" w:hAnsiTheme="minorEastAsia" w:eastAsiaTheme="minorEastAsia"/>
          <w:sz w:val="24"/>
          <w:u w:val="single"/>
        </w:rPr>
        <w:t>刘柯</w:t>
      </w:r>
      <w:r>
        <w:rPr>
          <w:rFonts w:hint="eastAsia" w:asciiTheme="minorEastAsia" w:hAnsiTheme="minorEastAsia" w:eastAsiaTheme="minorEastAsia"/>
          <w:sz w:val="24"/>
        </w:rPr>
        <w:t>系</w:t>
      </w:r>
      <w:r>
        <w:rPr>
          <w:rFonts w:hint="eastAsia" w:ascii="宋体" w:hAnsi="宋体"/>
          <w:sz w:val="24"/>
          <w:u w:val="single"/>
        </w:rPr>
        <w:t>北京三汇能环科技发展有限公司</w:t>
      </w:r>
      <w:r>
        <w:rPr>
          <w:rFonts w:hint="eastAsia" w:asciiTheme="minorEastAsia" w:hAnsiTheme="minorEastAsia" w:eastAsiaTheme="minorEastAsia"/>
          <w:sz w:val="24"/>
        </w:rPr>
        <w:t>（投标人名称）的法定代表人，现委托</w:t>
      </w:r>
      <w:r>
        <w:rPr>
          <w:rFonts w:hint="eastAsia" w:asciiTheme="minorEastAsia" w:hAnsiTheme="minorEastAsia" w:eastAsiaTheme="minorEastAsia"/>
          <w:sz w:val="24"/>
          <w:u w:val="single"/>
          <w:lang w:val="en-US" w:eastAsia="zh-CN"/>
        </w:rPr>
        <w:t>赵兴华</w:t>
      </w:r>
      <w:r>
        <w:rPr>
          <w:rFonts w:hint="eastAsia" w:asciiTheme="minorEastAsia" w:hAnsiTheme="minorEastAsia" w:eastAsiaTheme="minorEastAsia"/>
          <w:sz w:val="24"/>
        </w:rPr>
        <w:t>（姓名）为我方代理人。代理人根据授权，以我方名义签署、澄清、说明、补正、递交、撤回、修改</w:t>
      </w:r>
      <w:r>
        <w:rPr>
          <w:rFonts w:hint="eastAsia" w:asciiTheme="minorEastAsia" w:hAnsiTheme="minorEastAsia" w:eastAsiaTheme="minorEastAsia"/>
          <w:sz w:val="24"/>
          <w:u w:val="single"/>
          <w:lang w:val="en-US" w:eastAsia="zh-CN"/>
        </w:rPr>
        <w:t>同成街店4台直燃机溶液再生及机组检漏、清洗工程</w:t>
      </w:r>
      <w:r>
        <w:rPr>
          <w:rFonts w:hint="eastAsia" w:asciiTheme="minorEastAsia" w:hAnsiTheme="minorEastAsia" w:eastAsiaTheme="minorEastAsia"/>
          <w:sz w:val="24"/>
        </w:rPr>
        <w:t>标段施工投标文件、签订合同和处理有关事宜，其法律后果由我方承担。</w:t>
      </w:r>
    </w:p>
    <w:p>
      <w:pPr>
        <w:snapToGrid w:val="0"/>
        <w:spacing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委托期限：</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25</w:t>
      </w:r>
      <w:r>
        <w:rPr>
          <w:rFonts w:hint="eastAsia" w:asciiTheme="minorEastAsia" w:hAnsiTheme="minorEastAsia" w:eastAsiaTheme="minorEastAsia"/>
          <w:sz w:val="24"/>
          <w:u w:val="single"/>
        </w:rPr>
        <w:t>日至202</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11月25</w:t>
      </w:r>
      <w:r>
        <w:rPr>
          <w:rFonts w:hint="eastAsia" w:asciiTheme="minorEastAsia" w:hAnsiTheme="minorEastAsia" w:eastAsiaTheme="minorEastAsia"/>
          <w:sz w:val="24"/>
          <w:u w:val="single"/>
        </w:rPr>
        <w:t xml:space="preserve">日  </w:t>
      </w:r>
    </w:p>
    <w:p>
      <w:pPr>
        <w:snapToGrid w:val="0"/>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代理人无转委托权。</w:t>
      </w:r>
    </w:p>
    <w:p>
      <w:pPr>
        <w:snapToGrid w:val="0"/>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附：法定代表人及委托代理人的身份证明</w:t>
      </w:r>
    </w:p>
    <w:p>
      <w:pPr>
        <w:snapToGrid w:val="0"/>
        <w:spacing w:line="480" w:lineRule="auto"/>
        <w:ind w:firstLine="480" w:firstLineChars="200"/>
        <w:rPr>
          <w:rFonts w:asciiTheme="minorEastAsia" w:hAnsiTheme="minorEastAsia" w:eastAsiaTheme="minorEastAsia"/>
          <w:sz w:val="24"/>
        </w:rPr>
      </w:pPr>
    </w:p>
    <w:p>
      <w:pPr>
        <w:snapToGrid w:val="0"/>
        <w:spacing w:line="480" w:lineRule="auto"/>
        <w:ind w:left="3599" w:leftChars="1554" w:hanging="336" w:hangingChars="140"/>
        <w:rPr>
          <w:rFonts w:asciiTheme="minorEastAsia" w:hAnsiTheme="minorEastAsia" w:eastAsiaTheme="minorEastAsia"/>
          <w:sz w:val="24"/>
        </w:rPr>
      </w:pPr>
      <w:r>
        <w:rPr>
          <w:rFonts w:hint="eastAsia" w:asciiTheme="minorEastAsia" w:hAnsiTheme="minorEastAsia" w:eastAsiaTheme="minorEastAsia"/>
          <w:sz w:val="24"/>
        </w:rPr>
        <w:t>投标人：</w:t>
      </w:r>
      <w:r>
        <w:rPr>
          <w:rFonts w:hint="eastAsia" w:asciiTheme="minorEastAsia" w:hAnsiTheme="minorEastAsia" w:eastAsiaTheme="minorEastAsia"/>
          <w:sz w:val="24"/>
          <w:u w:val="single"/>
        </w:rPr>
        <w:t xml:space="preserve"> 北京三汇能环科技发展有限公司 </w:t>
      </w:r>
      <w:r>
        <w:rPr>
          <w:rFonts w:hint="eastAsia" w:asciiTheme="minorEastAsia" w:hAnsiTheme="minorEastAsia" w:eastAsiaTheme="minorEastAsia"/>
          <w:sz w:val="24"/>
        </w:rPr>
        <w:t>（盖单位章）</w:t>
      </w:r>
    </w:p>
    <w:p>
      <w:pPr>
        <w:snapToGrid w:val="0"/>
        <w:spacing w:line="480" w:lineRule="auto"/>
        <w:ind w:left="3599" w:leftChars="1554" w:hanging="336" w:hangingChars="140"/>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w:t>
      </w:r>
    </w:p>
    <w:p>
      <w:pPr>
        <w:snapToGrid w:val="0"/>
        <w:spacing w:line="480" w:lineRule="auto"/>
        <w:ind w:left="3599" w:leftChars="1554" w:hanging="336" w:hangingChars="140"/>
        <w:rPr>
          <w:rFonts w:asciiTheme="minorEastAsia" w:hAnsiTheme="minorEastAsia" w:eastAsiaTheme="minorEastAsia"/>
          <w:sz w:val="24"/>
          <w:u w:val="single"/>
        </w:rPr>
      </w:pPr>
      <w:r>
        <w:rPr>
          <w:rFonts w:hint="eastAsia" w:asciiTheme="minorEastAsia" w:hAnsiTheme="minorEastAsia" w:eastAsiaTheme="minorEastAsia"/>
          <w:sz w:val="24"/>
        </w:rPr>
        <w:t>身份证号码：</w:t>
      </w:r>
      <w:r>
        <w:rPr>
          <w:rFonts w:hint="eastAsia" w:asciiTheme="minorEastAsia" w:hAnsiTheme="minorEastAsia" w:eastAsiaTheme="minorEastAsia"/>
          <w:sz w:val="24"/>
          <w:u w:val="single"/>
        </w:rPr>
        <w:t xml:space="preserve"> 432522197611196401 </w:t>
      </w:r>
    </w:p>
    <w:p>
      <w:pPr>
        <w:snapToGrid w:val="0"/>
        <w:spacing w:line="480" w:lineRule="auto"/>
        <w:ind w:left="3599" w:leftChars="1554" w:hanging="336" w:hangingChars="140"/>
        <w:rPr>
          <w:rFonts w:asciiTheme="minorEastAsia" w:hAnsiTheme="minorEastAsia" w:eastAsiaTheme="minorEastAsia"/>
          <w:sz w:val="24"/>
        </w:rPr>
      </w:pPr>
      <w:r>
        <w:rPr>
          <w:rFonts w:hint="eastAsia" w:asciiTheme="minorEastAsia" w:hAnsiTheme="minorEastAsia" w:eastAsiaTheme="minorEastAsia"/>
          <w:sz w:val="24"/>
        </w:rPr>
        <w:t>委托代理人：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w:t>
      </w:r>
    </w:p>
    <w:p>
      <w:pPr>
        <w:snapToGrid w:val="0"/>
        <w:spacing w:line="480" w:lineRule="auto"/>
        <w:ind w:left="3599" w:leftChars="1554" w:hanging="336" w:hangingChars="140"/>
        <w:rPr>
          <w:rFonts w:asciiTheme="minorEastAsia" w:hAnsiTheme="minorEastAsia" w:eastAsiaTheme="minorEastAsia"/>
          <w:sz w:val="24"/>
        </w:rPr>
      </w:pPr>
      <w:r>
        <w:rPr>
          <w:rFonts w:hint="eastAsia" w:asciiTheme="minorEastAsia" w:hAnsiTheme="minorEastAsia" w:eastAsiaTheme="minorEastAsia"/>
          <w:sz w:val="24"/>
        </w:rPr>
        <w:t>身份证号码：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130433198607190328</w:t>
      </w:r>
      <w:r>
        <w:rPr>
          <w:rFonts w:hint="eastAsia" w:asciiTheme="minorEastAsia" w:hAnsiTheme="minorEastAsia" w:eastAsiaTheme="minorEastAsia"/>
          <w:sz w:val="24"/>
          <w:u w:val="single"/>
        </w:rPr>
        <w:t xml:space="preserve">   </w:t>
      </w:r>
    </w:p>
    <w:p>
      <w:pPr>
        <w:snapToGrid w:val="0"/>
        <w:spacing w:line="480" w:lineRule="auto"/>
        <w:ind w:firstLine="5760" w:firstLineChars="2400"/>
        <w:rPr>
          <w:rFonts w:asciiTheme="minorEastAsia" w:hAnsiTheme="minorEastAsia" w:eastAsiaTheme="minorEastAsia"/>
          <w:sz w:val="24"/>
          <w:u w:val="single"/>
        </w:rPr>
      </w:pPr>
    </w:p>
    <w:p>
      <w:pPr>
        <w:snapToGrid w:val="0"/>
        <w:spacing w:line="480" w:lineRule="auto"/>
        <w:ind w:firstLine="4440" w:firstLineChars="1850"/>
        <w:rPr>
          <w:rFonts w:ascii="宋体" w:hAnsi="宋体"/>
          <w:sz w:val="24"/>
        </w:rPr>
      </w:pPr>
      <w:r>
        <w:rPr>
          <w:rFonts w:hint="eastAsia" w:ascii="宋体" w:hAnsi="宋体"/>
          <w:sz w:val="24"/>
          <w:u w:val="single"/>
          <w:lang w:val="en-US" w:eastAsia="zh-CN"/>
        </w:rPr>
        <w:t>2021</w:t>
      </w:r>
      <w:r>
        <w:rPr>
          <w:rFonts w:hint="eastAsia" w:ascii="宋体" w:hAnsi="宋体"/>
          <w:sz w:val="24"/>
          <w:lang w:val="en-US" w:eastAsia="zh-CN"/>
        </w:rPr>
        <w:t>年</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lang w:val="en-US" w:eastAsia="zh-CN"/>
        </w:rPr>
        <w:t>25</w:t>
      </w:r>
      <w:r>
        <w:rPr>
          <w:rFonts w:hint="eastAsia" w:ascii="宋体" w:hAnsi="宋体"/>
          <w:sz w:val="24"/>
        </w:rPr>
        <w:t>日</w:t>
      </w:r>
    </w:p>
    <w:p>
      <w:pPr>
        <w:snapToGrid w:val="0"/>
        <w:spacing w:line="480" w:lineRule="auto"/>
        <w:jc w:val="center"/>
        <w:rPr>
          <w:rFonts w:asciiTheme="minorEastAsia" w:hAnsiTheme="minorEastAsia" w:eastAsiaTheme="minorEastAsia"/>
          <w:sz w:val="24"/>
        </w:rPr>
      </w:pPr>
    </w:p>
    <w:p>
      <w:pPr>
        <w:snapToGrid w:val="0"/>
        <w:spacing w:line="480" w:lineRule="auto"/>
        <w:jc w:val="center"/>
        <w:rPr>
          <w:rFonts w:asciiTheme="minorEastAsia" w:hAnsiTheme="minorEastAsia" w:eastAsiaTheme="minorEastAsia"/>
          <w:sz w:val="24"/>
        </w:rPr>
      </w:pPr>
    </w:p>
    <w:p>
      <w:pPr>
        <w:snapToGrid w:val="0"/>
        <w:spacing w:line="480" w:lineRule="auto"/>
        <w:jc w:val="center"/>
        <w:rPr>
          <w:rFonts w:asciiTheme="minorEastAsia" w:hAnsiTheme="minorEastAsia" w:eastAsiaTheme="minorEastAsia"/>
          <w:sz w:val="24"/>
        </w:rPr>
      </w:pPr>
    </w:p>
    <w:p>
      <w:pPr>
        <w:snapToGrid w:val="0"/>
        <w:spacing w:line="300" w:lineRule="auto"/>
        <w:ind w:firstLine="3096" w:firstLineChars="1285"/>
        <w:rPr>
          <w:rFonts w:ascii="宋体" w:hAnsi="宋体"/>
          <w:b/>
          <w:sz w:val="24"/>
        </w:rPr>
        <w:sectPr>
          <w:pgSz w:w="11906" w:h="16838"/>
          <w:pgMar w:top="1247" w:right="1418" w:bottom="454" w:left="1418" w:header="851" w:footer="992" w:gutter="0"/>
          <w:pgNumType w:fmt="decimal"/>
          <w:cols w:space="720" w:num="1"/>
          <w:docGrid w:linePitch="312" w:charSpace="0"/>
        </w:sectPr>
      </w:pPr>
    </w:p>
    <w:p>
      <w:pPr>
        <w:pStyle w:val="4"/>
        <w:jc w:val="center"/>
        <w:rPr>
          <w:rFonts w:ascii="华文中宋" w:hAnsi="华文中宋" w:eastAsia="华文中宋"/>
          <w:b w:val="0"/>
          <w:sz w:val="30"/>
          <w:szCs w:val="30"/>
        </w:rPr>
      </w:pPr>
      <w:r>
        <w:rPr>
          <w:rFonts w:hint="eastAsia" w:ascii="华文中宋" w:hAnsi="华文中宋" w:eastAsia="华文中宋"/>
          <w:b w:val="0"/>
          <w:sz w:val="30"/>
          <w:szCs w:val="30"/>
        </w:rPr>
        <w:t>（</w:t>
      </w:r>
      <w:r>
        <w:rPr>
          <w:rFonts w:hint="eastAsia" w:ascii="华文中宋" w:hAnsi="华文中宋" w:eastAsia="华文中宋"/>
          <w:b w:val="0"/>
          <w:sz w:val="30"/>
          <w:szCs w:val="30"/>
          <w:lang w:eastAsia="zh-CN"/>
        </w:rPr>
        <w:t>一</w:t>
      </w:r>
      <w:r>
        <w:rPr>
          <w:rFonts w:hint="eastAsia" w:ascii="华文中宋" w:hAnsi="华文中宋" w:eastAsia="华文中宋"/>
          <w:b w:val="0"/>
          <w:sz w:val="30"/>
          <w:szCs w:val="30"/>
        </w:rPr>
        <w:t>）被授权人身份证复印件</w:t>
      </w:r>
    </w:p>
    <w:p>
      <w:pPr>
        <w:jc w:val="center"/>
        <w:rPr>
          <w:sz w:val="24"/>
        </w:rPr>
      </w:pPr>
    </w:p>
    <w:p>
      <w:pPr>
        <w:jc w:val="center"/>
        <w:rPr>
          <w:sz w:val="24"/>
        </w:rPr>
      </w:pPr>
    </w:p>
    <w:p>
      <w:pPr>
        <w:rPr>
          <w:sz w:val="24"/>
        </w:rPr>
      </w:pPr>
    </w:p>
    <w:p>
      <w:pPr>
        <w:rPr>
          <w:sz w:val="24"/>
        </w:rPr>
      </w:pPr>
    </w:p>
    <w:p>
      <w:pPr>
        <w:rPr>
          <w:sz w:val="24"/>
        </w:rPr>
      </w:pPr>
    </w:p>
    <w:p>
      <w:pPr>
        <w:rPr>
          <w:sz w:val="24"/>
        </w:rPr>
      </w:pPr>
    </w:p>
    <w:p>
      <w:pPr>
        <w:jc w:val="center"/>
        <w:rPr>
          <w:sz w:val="24"/>
        </w:rPr>
      </w:pPr>
    </w:p>
    <w:p>
      <w:pPr>
        <w:rPr>
          <w:sz w:val="24"/>
        </w:rPr>
      </w:pPr>
    </w:p>
    <w:p>
      <w:pPr>
        <w:snapToGrid w:val="0"/>
        <w:spacing w:line="300" w:lineRule="auto"/>
        <w:jc w:val="center"/>
        <w:rPr>
          <w:rFonts w:ascii="宋体" w:hAnsi="宋体"/>
          <w:sz w:val="24"/>
        </w:rPr>
      </w:pPr>
      <w:r>
        <w:rPr>
          <w:rFonts w:hint="eastAsia" w:eastAsia="宋体"/>
          <w:lang w:eastAsia="zh-CN"/>
        </w:rPr>
        <w:drawing>
          <wp:inline distT="0" distB="0" distL="114300" distR="114300">
            <wp:extent cx="2858135" cy="1859280"/>
            <wp:effectExtent l="0" t="0" r="18415" b="7620"/>
            <wp:docPr id="1" name="图片 1" descr="1617700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7700883(1)"/>
                    <pic:cNvPicPr>
                      <a:picLocks noChangeAspect="1"/>
                    </pic:cNvPicPr>
                  </pic:nvPicPr>
                  <pic:blipFill>
                    <a:blip r:embed="rId22"/>
                    <a:stretch>
                      <a:fillRect/>
                    </a:stretch>
                  </pic:blipFill>
                  <pic:spPr>
                    <a:xfrm>
                      <a:off x="0" y="0"/>
                      <a:ext cx="2858135" cy="1859280"/>
                    </a:xfrm>
                    <a:prstGeom prst="rect">
                      <a:avLst/>
                    </a:prstGeom>
                    <a:noFill/>
                    <a:ln>
                      <a:noFill/>
                    </a:ln>
                  </pic:spPr>
                </pic:pic>
              </a:graphicData>
            </a:graphic>
          </wp:inline>
        </w:drawing>
      </w: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jc w:val="center"/>
        <w:rPr>
          <w:rFonts w:ascii="宋体" w:hAnsi="宋体"/>
          <w:sz w:val="24"/>
        </w:rPr>
      </w:pPr>
      <w:r>
        <w:drawing>
          <wp:inline distT="0" distB="0" distL="114300" distR="114300">
            <wp:extent cx="2913380" cy="1724025"/>
            <wp:effectExtent l="0" t="0" r="127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3"/>
                    <a:stretch>
                      <a:fillRect/>
                    </a:stretch>
                  </pic:blipFill>
                  <pic:spPr>
                    <a:xfrm>
                      <a:off x="0" y="0"/>
                      <a:ext cx="2913380" cy="1724025"/>
                    </a:xfrm>
                    <a:prstGeom prst="rect">
                      <a:avLst/>
                    </a:prstGeom>
                    <a:noFill/>
                    <a:ln>
                      <a:noFill/>
                    </a:ln>
                  </pic:spPr>
                </pic:pic>
              </a:graphicData>
            </a:graphic>
          </wp:inline>
        </w:drawing>
      </w: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pPr>
    </w:p>
    <w:p>
      <w:pPr>
        <w:snapToGrid w:val="0"/>
        <w:spacing w:line="300" w:lineRule="auto"/>
        <w:rPr>
          <w:rFonts w:ascii="宋体" w:hAnsi="宋体"/>
          <w:sz w:val="24"/>
        </w:rPr>
        <w:sectPr>
          <w:pgSz w:w="11906" w:h="16838"/>
          <w:pgMar w:top="1247" w:right="1418" w:bottom="454" w:left="1418" w:header="851" w:footer="992" w:gutter="0"/>
          <w:pgNumType w:fmt="decimal"/>
          <w:cols w:space="720" w:num="1"/>
          <w:docGrid w:linePitch="312" w:charSpace="0"/>
        </w:sectPr>
      </w:pPr>
    </w:p>
    <w:p>
      <w:pPr>
        <w:pStyle w:val="3"/>
        <w:numPr>
          <w:ilvl w:val="0"/>
          <w:numId w:val="0"/>
        </w:numPr>
        <w:spacing w:line="360" w:lineRule="auto"/>
        <w:jc w:val="center"/>
        <w:rPr>
          <w:rFonts w:hint="eastAsia" w:ascii="华文中宋" w:hAnsi="华文中宋" w:eastAsia="华文中宋"/>
          <w:b w:val="0"/>
          <w:sz w:val="36"/>
          <w:szCs w:val="36"/>
          <w:lang w:val="en-US" w:eastAsia="zh-CN"/>
        </w:rPr>
      </w:pPr>
      <w:bookmarkStart w:id="2" w:name="_Toc23196"/>
      <w:r>
        <w:rPr>
          <w:rFonts w:hint="eastAsia" w:ascii="华文中宋" w:hAnsi="华文中宋" w:eastAsia="华文中宋"/>
          <w:b w:val="0"/>
          <w:sz w:val="36"/>
          <w:szCs w:val="36"/>
          <w:lang w:val="en-US" w:eastAsia="zh-CN"/>
        </w:rPr>
        <w:t>三、承诺函</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1、我方愿以（大写，人民币）</w:t>
      </w:r>
      <w:r>
        <w:rPr>
          <w:rFonts w:hint="eastAsia" w:asciiTheme="minorEastAsia" w:hAnsiTheme="minorEastAsia" w:eastAsiaTheme="minorEastAsia"/>
          <w:sz w:val="24"/>
          <w:u w:val="single"/>
          <w:lang w:eastAsia="zh-CN"/>
        </w:rPr>
        <w:t>肆拾叁万壹仟零柒拾玖元六角</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431079.6</w:t>
      </w:r>
      <w:r>
        <w:rPr>
          <w:rFonts w:hint="eastAsia" w:asciiTheme="minorEastAsia" w:hAnsiTheme="minorEastAsia" w:eastAsiaTheme="minorEastAsia"/>
          <w:sz w:val="24"/>
        </w:rPr>
        <w:t xml:space="preserve"> 元）的总价（详见开标一览表）承接该项目；</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2、我方已详细审核全部招标文件，包括修改文件及有关附件；我方放弃对招标文件有不明和误解的权利。</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3、我方承认投标函及相关文件是我方投标文件的组成部分。</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4、一旦我方中标，我方保证按合同规定在</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日历天内完成。</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5、如果我方中标，我方将按照招标书和合同的规定履行责任和义务；如果未中标，我方不争辩、不要求解释。</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6、我方同意所提交的投标文件在 </w:t>
      </w:r>
      <w:r>
        <w:rPr>
          <w:rFonts w:hint="eastAsia" w:asciiTheme="minorEastAsia" w:hAnsiTheme="minorEastAsia" w:eastAsiaTheme="minorEastAsia"/>
          <w:sz w:val="24"/>
          <w:u w:val="single"/>
        </w:rPr>
        <w:t xml:space="preserve">120 </w:t>
      </w:r>
      <w:r>
        <w:rPr>
          <w:rFonts w:hint="eastAsia" w:asciiTheme="minorEastAsia" w:hAnsiTheme="minorEastAsia" w:eastAsiaTheme="minorEastAsia"/>
          <w:sz w:val="24"/>
        </w:rPr>
        <w:t xml:space="preserve"> 天内有效，在此期间内如果中标，我方将受此约束。</w:t>
      </w:r>
    </w:p>
    <w:p>
      <w:pPr>
        <w:snapToGrid w:val="0"/>
        <w:spacing w:line="48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7、如另外达成协议并生效，贵方的招标文件、中标通知书和本投标文件将成为约束双方的合同文件的组成部分。</w:t>
      </w:r>
    </w:p>
    <w:p>
      <w:pPr>
        <w:numPr>
          <w:ilvl w:val="0"/>
          <w:numId w:val="0"/>
        </w:numPr>
        <w:rPr>
          <w:rFonts w:hint="default"/>
          <w:lang w:val="en-US" w:eastAsia="zh-CN"/>
        </w:rPr>
      </w:pPr>
    </w:p>
    <w:p>
      <w:pPr>
        <w:pStyle w:val="3"/>
        <w:spacing w:line="360" w:lineRule="auto"/>
        <w:jc w:val="center"/>
        <w:rPr>
          <w:rFonts w:hint="eastAsia" w:ascii="华文中宋" w:hAnsi="华文中宋" w:eastAsia="华文中宋"/>
          <w:b w:val="0"/>
          <w:sz w:val="36"/>
          <w:szCs w:val="36"/>
        </w:rPr>
      </w:pPr>
    </w:p>
    <w:p>
      <w:pPr>
        <w:autoSpaceDE w:val="0"/>
        <w:autoSpaceDN w:val="0"/>
        <w:spacing w:line="440" w:lineRule="exact"/>
        <w:ind w:left="178" w:right="-340" w:firstLine="4320" w:firstLineChars="1800"/>
        <w:rPr>
          <w:rFonts w:ascii="宋体" w:hAnsi="宋体"/>
          <w:sz w:val="24"/>
          <w:szCs w:val="24"/>
          <w:u w:val="single"/>
        </w:rPr>
      </w:pPr>
      <w:r>
        <w:rPr>
          <w:rFonts w:hint="eastAsia" w:ascii="宋体" w:hAnsi="宋体"/>
          <w:sz w:val="24"/>
          <w:szCs w:val="24"/>
        </w:rPr>
        <w:t>投 标 人(公章)：</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napToGrid w:val="0"/>
        <w:spacing w:after="156" w:line="440" w:lineRule="exact"/>
        <w:ind w:firstLine="4560" w:firstLineChars="1900"/>
        <w:jc w:val="left"/>
        <w:rPr>
          <w:rFonts w:hint="eastAsia" w:ascii="宋体" w:hAnsi="宋体"/>
          <w:sz w:val="24"/>
          <w:szCs w:val="24"/>
          <w:u w:val="single"/>
        </w:rPr>
      </w:pPr>
      <w:r>
        <w:rPr>
          <w:rFonts w:hint="eastAsia" w:ascii="宋体" w:hAnsi="宋体"/>
          <w:sz w:val="24"/>
          <w:szCs w:val="24"/>
        </w:rPr>
        <w:t>法定代表人或委托代理人：(签字)</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napToGrid w:val="0"/>
        <w:spacing w:after="156" w:line="440" w:lineRule="exact"/>
        <w:ind w:firstLine="4560" w:firstLineChars="1900"/>
        <w:jc w:val="left"/>
        <w:rPr>
          <w:rFonts w:hint="eastAsia"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autoSpaceDE w:val="0"/>
        <w:autoSpaceDN w:val="0"/>
        <w:spacing w:after="156" w:line="440" w:lineRule="exact"/>
        <w:ind w:firstLine="4410"/>
        <w:jc w:val="left"/>
        <w:rPr>
          <w:sz w:val="24"/>
          <w:szCs w:val="24"/>
        </w:rPr>
        <w:sectPr>
          <w:headerReference r:id="rId7" w:type="first"/>
          <w:footerReference r:id="rId9" w:type="first"/>
          <w:headerReference r:id="rId6" w:type="default"/>
          <w:footerReference r:id="rId8" w:type="default"/>
          <w:pgSz w:w="11906" w:h="16838"/>
          <w:pgMar w:top="1134" w:right="991" w:bottom="0" w:left="1560" w:header="227" w:footer="567" w:gutter="0"/>
          <w:pgNumType w:fmt="decimal" w:start="1"/>
          <w:cols w:space="720" w:num="1"/>
          <w:titlePg/>
          <w:docGrid w:type="lines" w:linePitch="312" w:charSpace="0"/>
        </w:sectPr>
      </w:pPr>
    </w:p>
    <w:p>
      <w:pPr>
        <w:pStyle w:val="2"/>
        <w:rPr>
          <w:rFonts w:hint="eastAsia" w:ascii="华文中宋" w:hAnsi="华文中宋" w:eastAsia="华文中宋"/>
          <w:b w:val="0"/>
          <w:sz w:val="36"/>
          <w:szCs w:val="36"/>
        </w:rPr>
      </w:pPr>
    </w:p>
    <w:p>
      <w:pPr>
        <w:pStyle w:val="3"/>
        <w:spacing w:line="360" w:lineRule="auto"/>
        <w:jc w:val="center"/>
        <w:rPr>
          <w:rFonts w:hint="default" w:ascii="华文中宋" w:hAnsi="华文中宋" w:eastAsia="华文中宋"/>
          <w:b w:val="0"/>
          <w:sz w:val="36"/>
          <w:szCs w:val="36"/>
          <w:lang w:val="en-US" w:eastAsia="zh-CN"/>
        </w:rPr>
      </w:pPr>
      <w:r>
        <w:rPr>
          <w:rFonts w:hint="eastAsia" w:ascii="华文中宋" w:hAnsi="华文中宋" w:eastAsia="华文中宋"/>
          <w:b w:val="0"/>
          <w:sz w:val="36"/>
          <w:szCs w:val="36"/>
          <w:lang w:eastAsia="zh-CN"/>
        </w:rPr>
        <w:t>四</w:t>
      </w:r>
      <w:r>
        <w:rPr>
          <w:rFonts w:hint="eastAsia" w:ascii="华文中宋" w:hAnsi="华文中宋" w:eastAsia="华文中宋"/>
          <w:b w:val="0"/>
          <w:sz w:val="36"/>
          <w:szCs w:val="36"/>
        </w:rPr>
        <w:t>、</w:t>
      </w:r>
      <w:bookmarkEnd w:id="2"/>
      <w:r>
        <w:rPr>
          <w:rFonts w:hint="eastAsia" w:ascii="华文中宋" w:hAnsi="华文中宋" w:eastAsia="华文中宋"/>
          <w:b w:val="0"/>
          <w:sz w:val="36"/>
          <w:szCs w:val="36"/>
          <w:lang w:val="en-US" w:eastAsia="zh-CN"/>
        </w:rPr>
        <w:t>开标一览标</w:t>
      </w:r>
    </w:p>
    <w:tbl>
      <w:tblPr>
        <w:tblStyle w:val="13"/>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86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43" w:type="dxa"/>
            <w:vAlign w:val="center"/>
          </w:tcPr>
          <w:p>
            <w:pPr>
              <w:snapToGrid w:val="0"/>
              <w:spacing w:line="300" w:lineRule="auto"/>
              <w:jc w:val="center"/>
              <w:rPr>
                <w:rFonts w:ascii="宋体" w:hAnsi="宋体"/>
                <w:sz w:val="24"/>
              </w:rPr>
            </w:pPr>
            <w:r>
              <w:rPr>
                <w:rFonts w:hint="eastAsia" w:ascii="宋体" w:hAnsi="宋体"/>
                <w:sz w:val="24"/>
              </w:rPr>
              <w:t>工程项目</w:t>
            </w:r>
          </w:p>
        </w:tc>
        <w:tc>
          <w:tcPr>
            <w:tcW w:w="4862" w:type="dxa"/>
            <w:vAlign w:val="center"/>
          </w:tcPr>
          <w:p>
            <w:pPr>
              <w:snapToGrid w:val="0"/>
              <w:spacing w:line="300" w:lineRule="auto"/>
              <w:jc w:val="center"/>
              <w:rPr>
                <w:rFonts w:ascii="宋体" w:hAnsi="宋体"/>
                <w:sz w:val="24"/>
              </w:rPr>
            </w:pPr>
            <w:r>
              <w:rPr>
                <w:rFonts w:hint="eastAsia" w:ascii="宋体" w:hAnsi="宋体"/>
                <w:sz w:val="24"/>
              </w:rPr>
              <w:t>投标报价及承诺</w:t>
            </w:r>
          </w:p>
        </w:tc>
        <w:tc>
          <w:tcPr>
            <w:tcW w:w="1800" w:type="dxa"/>
            <w:vAlign w:val="center"/>
          </w:tcPr>
          <w:p>
            <w:pPr>
              <w:snapToGrid w:val="0"/>
              <w:spacing w:line="30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43" w:type="dxa"/>
            <w:vAlign w:val="center"/>
          </w:tcPr>
          <w:p>
            <w:pPr>
              <w:snapToGrid w:val="0"/>
              <w:spacing w:line="300" w:lineRule="auto"/>
              <w:jc w:val="center"/>
              <w:rPr>
                <w:rFonts w:ascii="宋体" w:hAnsi="宋体"/>
                <w:sz w:val="24"/>
              </w:rPr>
            </w:pPr>
            <w:r>
              <w:rPr>
                <w:rFonts w:hint="eastAsia" w:ascii="宋体" w:hAnsi="宋体"/>
                <w:sz w:val="24"/>
              </w:rPr>
              <w:t>项目总价（元）</w:t>
            </w:r>
          </w:p>
        </w:tc>
        <w:tc>
          <w:tcPr>
            <w:tcW w:w="4862" w:type="dxa"/>
            <w:vAlign w:val="center"/>
          </w:tcPr>
          <w:p>
            <w:pPr>
              <w:snapToGrid w:val="0"/>
              <w:spacing w:line="300" w:lineRule="auto"/>
              <w:jc w:val="center"/>
              <w:rPr>
                <w:rFonts w:hint="default" w:ascii="宋体" w:hAnsi="宋体" w:eastAsia="宋体"/>
                <w:sz w:val="24"/>
                <w:lang w:val="en-US" w:eastAsia="zh-CN"/>
              </w:rPr>
            </w:pPr>
            <w:r>
              <w:rPr>
                <w:rFonts w:hint="eastAsia" w:ascii="宋体" w:hAnsi="宋体"/>
                <w:sz w:val="24"/>
                <w:lang w:val="en-US" w:eastAsia="zh-CN"/>
              </w:rPr>
              <w:t>431079.6</w:t>
            </w:r>
          </w:p>
        </w:tc>
        <w:tc>
          <w:tcPr>
            <w:tcW w:w="1800" w:type="dxa"/>
            <w:vAlign w:val="center"/>
          </w:tcPr>
          <w:p>
            <w:pPr>
              <w:snapToGrid w:val="0"/>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43" w:type="dxa"/>
            <w:vAlign w:val="center"/>
          </w:tcPr>
          <w:p>
            <w:pPr>
              <w:snapToGrid w:val="0"/>
              <w:spacing w:line="300" w:lineRule="auto"/>
              <w:jc w:val="center"/>
              <w:rPr>
                <w:rFonts w:ascii="宋体" w:hAnsi="宋体"/>
                <w:sz w:val="24"/>
              </w:rPr>
            </w:pPr>
            <w:r>
              <w:rPr>
                <w:rFonts w:hint="eastAsia" w:ascii="宋体" w:hAnsi="宋体"/>
                <w:sz w:val="24"/>
              </w:rPr>
              <w:t>投标有效期</w:t>
            </w:r>
          </w:p>
        </w:tc>
        <w:tc>
          <w:tcPr>
            <w:tcW w:w="4862" w:type="dxa"/>
            <w:vAlign w:val="center"/>
          </w:tcPr>
          <w:p>
            <w:pPr>
              <w:snapToGrid w:val="0"/>
              <w:spacing w:line="300" w:lineRule="auto"/>
              <w:jc w:val="center"/>
              <w:rPr>
                <w:rFonts w:ascii="宋体" w:hAnsi="宋体"/>
                <w:sz w:val="24"/>
              </w:rPr>
            </w:pPr>
            <w:r>
              <w:rPr>
                <w:rFonts w:hint="eastAsia" w:ascii="宋体" w:hAnsi="宋体"/>
                <w:sz w:val="24"/>
                <w:lang w:val="en-US" w:eastAsia="zh-CN"/>
              </w:rPr>
              <w:t>120</w:t>
            </w:r>
            <w:r>
              <w:rPr>
                <w:rFonts w:hint="eastAsia" w:ascii="宋体" w:hAnsi="宋体"/>
                <w:sz w:val="24"/>
              </w:rPr>
              <w:t>天</w:t>
            </w:r>
          </w:p>
        </w:tc>
        <w:tc>
          <w:tcPr>
            <w:tcW w:w="1800" w:type="dxa"/>
            <w:vAlign w:val="center"/>
          </w:tcPr>
          <w:p>
            <w:pPr>
              <w:snapToGrid w:val="0"/>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43" w:type="dxa"/>
            <w:vAlign w:val="center"/>
          </w:tcPr>
          <w:p>
            <w:pPr>
              <w:snapToGrid w:val="0"/>
              <w:spacing w:line="300" w:lineRule="auto"/>
              <w:jc w:val="center"/>
              <w:rPr>
                <w:rFonts w:ascii="宋体" w:hAnsi="宋体"/>
                <w:sz w:val="24"/>
              </w:rPr>
            </w:pPr>
            <w:r>
              <w:rPr>
                <w:rFonts w:hint="eastAsia" w:ascii="宋体" w:hAnsi="宋体"/>
                <w:sz w:val="24"/>
              </w:rPr>
              <w:t>质量目标</w:t>
            </w:r>
          </w:p>
        </w:tc>
        <w:tc>
          <w:tcPr>
            <w:tcW w:w="4862" w:type="dxa"/>
            <w:vAlign w:val="center"/>
          </w:tcPr>
          <w:p>
            <w:pPr>
              <w:snapToGrid w:val="0"/>
              <w:spacing w:line="300" w:lineRule="auto"/>
              <w:jc w:val="center"/>
              <w:rPr>
                <w:rFonts w:hint="default" w:ascii="宋体" w:hAnsi="宋体" w:eastAsia="宋体"/>
                <w:sz w:val="24"/>
                <w:lang w:val="en-US" w:eastAsia="zh-CN"/>
              </w:rPr>
            </w:pPr>
            <w:r>
              <w:rPr>
                <w:rFonts w:hint="eastAsia" w:ascii="宋体" w:hAnsi="宋体"/>
                <w:sz w:val="24"/>
              </w:rPr>
              <w:t>符合技术要求和达到安全生产使用</w:t>
            </w:r>
            <w:r>
              <w:rPr>
                <w:rFonts w:hint="eastAsia" w:ascii="宋体" w:hAnsi="宋体"/>
                <w:sz w:val="24"/>
                <w:lang w:val="en-US" w:eastAsia="zh-CN"/>
              </w:rPr>
              <w:t>合格标准</w:t>
            </w:r>
          </w:p>
        </w:tc>
        <w:tc>
          <w:tcPr>
            <w:tcW w:w="1800" w:type="dxa"/>
            <w:vAlign w:val="center"/>
          </w:tcPr>
          <w:p>
            <w:pPr>
              <w:snapToGrid w:val="0"/>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43" w:type="dxa"/>
            <w:vAlign w:val="center"/>
          </w:tcPr>
          <w:p>
            <w:pPr>
              <w:snapToGrid w:val="0"/>
              <w:spacing w:line="300" w:lineRule="auto"/>
              <w:jc w:val="center"/>
              <w:rPr>
                <w:rFonts w:ascii="宋体" w:hAnsi="宋体"/>
                <w:sz w:val="24"/>
              </w:rPr>
            </w:pPr>
            <w:r>
              <w:rPr>
                <w:rFonts w:hint="eastAsia" w:ascii="宋体" w:hAnsi="宋体"/>
                <w:sz w:val="24"/>
              </w:rPr>
              <w:t>工期</w:t>
            </w:r>
          </w:p>
        </w:tc>
        <w:tc>
          <w:tcPr>
            <w:tcW w:w="4862" w:type="dxa"/>
            <w:vAlign w:val="center"/>
          </w:tcPr>
          <w:p>
            <w:pPr>
              <w:snapToGrid w:val="0"/>
              <w:spacing w:line="300" w:lineRule="auto"/>
              <w:jc w:val="center"/>
              <w:rPr>
                <w:rFonts w:ascii="宋体" w:hAnsi="宋体"/>
                <w:sz w:val="24"/>
              </w:rPr>
            </w:pP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日历天</w:t>
            </w:r>
          </w:p>
        </w:tc>
        <w:tc>
          <w:tcPr>
            <w:tcW w:w="1800" w:type="dxa"/>
            <w:vAlign w:val="center"/>
          </w:tcPr>
          <w:p>
            <w:pPr>
              <w:snapToGrid w:val="0"/>
              <w:spacing w:line="300" w:lineRule="auto"/>
              <w:jc w:val="center"/>
              <w:rPr>
                <w:rFonts w:ascii="宋体" w:hAnsi="宋体"/>
                <w:sz w:val="24"/>
              </w:rPr>
            </w:pPr>
          </w:p>
        </w:tc>
      </w:tr>
    </w:tbl>
    <w:p>
      <w:pPr>
        <w:snapToGrid w:val="0"/>
        <w:spacing w:line="300" w:lineRule="auto"/>
        <w:jc w:val="center"/>
        <w:rPr>
          <w:rFonts w:ascii="宋体" w:hAnsi="宋体"/>
          <w:sz w:val="24"/>
        </w:rPr>
      </w:pPr>
    </w:p>
    <w:p>
      <w:pPr>
        <w:snapToGrid w:val="0"/>
        <w:spacing w:line="300" w:lineRule="auto"/>
        <w:jc w:val="center"/>
        <w:rPr>
          <w:rFonts w:ascii="宋体" w:hAnsi="宋体"/>
          <w:sz w:val="24"/>
        </w:rPr>
      </w:pPr>
      <w:r>
        <w:rPr>
          <w:rFonts w:hint="eastAsia" w:ascii="宋体" w:hAnsi="宋体"/>
          <w:sz w:val="24"/>
        </w:rPr>
        <w:t xml:space="preserve">          </w:t>
      </w:r>
    </w:p>
    <w:p>
      <w:pPr>
        <w:snapToGrid w:val="0"/>
        <w:spacing w:line="300" w:lineRule="auto"/>
        <w:jc w:val="center"/>
        <w:rPr>
          <w:rFonts w:hint="eastAsia" w:ascii="宋体" w:hAnsi="宋体"/>
          <w:sz w:val="24"/>
        </w:rPr>
      </w:pPr>
      <w:r>
        <w:rPr>
          <w:rFonts w:hint="eastAsia" w:ascii="宋体" w:hAnsi="宋体"/>
          <w:sz w:val="24"/>
        </w:rPr>
        <w:t xml:space="preserve">  投标单位法人代表或授权代理人代表签字（加盖公章）：</w:t>
      </w:r>
    </w:p>
    <w:p>
      <w:pPr>
        <w:snapToGrid w:val="0"/>
        <w:spacing w:line="300" w:lineRule="auto"/>
        <w:jc w:val="center"/>
        <w:rPr>
          <w:rFonts w:hint="default" w:ascii="宋体" w:hAnsi="宋体" w:eastAsia="宋体"/>
          <w:sz w:val="24"/>
          <w:lang w:val="en-US" w:eastAsia="zh-CN"/>
        </w:rPr>
        <w:sectPr>
          <w:footerReference r:id="rId10" w:type="default"/>
          <w:pgSz w:w="11906" w:h="16838"/>
          <w:pgMar w:top="1247" w:right="1026" w:bottom="992" w:left="1418" w:header="851" w:footer="992" w:gutter="0"/>
          <w:pgNumType w:fmt="decimal"/>
          <w:cols w:space="720" w:num="1"/>
          <w:docGrid w:linePitch="312" w:charSpace="0"/>
        </w:sectPr>
      </w:pPr>
      <w:r>
        <w:rPr>
          <w:rFonts w:hint="eastAsia" w:ascii="宋体" w:hAnsi="宋体"/>
          <w:sz w:val="24"/>
        </w:rPr>
        <w:t>北京三汇能环</w:t>
      </w:r>
      <w:bookmarkStart w:id="3" w:name="_Toc36216273"/>
      <w:bookmarkEnd w:id="3"/>
      <w:r>
        <w:rPr>
          <w:rFonts w:hint="eastAsia" w:ascii="宋体" w:hAnsi="宋体"/>
          <w:sz w:val="24"/>
          <w:lang w:val="en-US" w:eastAsia="zh-CN"/>
        </w:rPr>
        <w:t>科技发展有限公司</w:t>
      </w:r>
    </w:p>
    <w:p>
      <w:pPr>
        <w:pStyle w:val="3"/>
        <w:spacing w:line="360" w:lineRule="auto"/>
        <w:jc w:val="center"/>
        <w:rPr>
          <w:rFonts w:hint="default" w:ascii="宋体" w:hAnsi="宋体" w:eastAsia="华文中宋"/>
          <w:b/>
          <w:sz w:val="24"/>
          <w:lang w:val="en-US" w:eastAsia="zh-CN"/>
        </w:rPr>
      </w:pPr>
      <w:r>
        <w:rPr>
          <w:rFonts w:hint="eastAsia" w:ascii="华文中宋" w:hAnsi="华文中宋" w:eastAsia="华文中宋"/>
          <w:b w:val="0"/>
          <w:sz w:val="36"/>
          <w:szCs w:val="36"/>
          <w:lang w:eastAsia="zh-CN"/>
        </w:rPr>
        <w:t>五</w:t>
      </w:r>
      <w:r>
        <w:rPr>
          <w:rFonts w:hint="eastAsia" w:ascii="华文中宋" w:hAnsi="华文中宋" w:eastAsia="华文中宋"/>
          <w:b w:val="0"/>
          <w:sz w:val="36"/>
          <w:szCs w:val="36"/>
        </w:rPr>
        <w:t>、</w:t>
      </w:r>
      <w:r>
        <w:rPr>
          <w:rFonts w:hint="eastAsia" w:ascii="华文中宋" w:hAnsi="华文中宋" w:eastAsia="华文中宋"/>
          <w:b w:val="0"/>
          <w:sz w:val="36"/>
          <w:szCs w:val="36"/>
          <w:lang w:val="en-US" w:eastAsia="zh-CN"/>
        </w:rPr>
        <w:t>工程量报价清单报价表</w:t>
      </w:r>
    </w:p>
    <w:p>
      <w:pPr>
        <w:pStyle w:val="2"/>
        <w:rPr>
          <w:rFonts w:ascii="宋体" w:hAnsi="宋体"/>
          <w:b/>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46"/>
        <w:gridCol w:w="65"/>
        <w:gridCol w:w="881"/>
        <w:gridCol w:w="866"/>
        <w:gridCol w:w="135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序号</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项目</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单位</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数量</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单价（元）</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金额</w:t>
            </w:r>
            <w:r>
              <w:rPr>
                <w:rFonts w:ascii="Times New Roman" w:hAnsi="Times New Roman"/>
                <w:kern w:val="2"/>
                <w:sz w:val="24"/>
                <w:szCs w:val="24"/>
              </w:rPr>
              <w:t>(</w:t>
            </w:r>
            <w:r>
              <w:rPr>
                <w:rFonts w:hint="eastAsia" w:ascii="Times New Roman" w:hAnsi="Times New Roman"/>
                <w:kern w:val="2"/>
                <w:sz w:val="24"/>
                <w:szCs w:val="24"/>
              </w:rPr>
              <w:t>元</w:t>
            </w:r>
            <w:r>
              <w:rPr>
                <w:rFonts w:ascii="Times New Roman" w:hAnsi="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一</w:t>
            </w:r>
          </w:p>
        </w:tc>
        <w:tc>
          <w:tcPr>
            <w:tcW w:w="7662" w:type="dxa"/>
            <w:gridSpan w:val="6"/>
            <w:tcBorders>
              <w:top w:val="single" w:color="auto" w:sz="4" w:space="0"/>
              <w:left w:val="single" w:color="auto" w:sz="4" w:space="0"/>
              <w:bottom w:val="single" w:color="auto" w:sz="4" w:space="0"/>
              <w:right w:val="single" w:color="auto" w:sz="4" w:space="0"/>
            </w:tcBorders>
            <w:noWrap w:val="0"/>
            <w:vAlign w:val="top"/>
          </w:tcPr>
          <w:p>
            <w:pPr>
              <w:ind w:firstLine="2280" w:firstLineChars="950"/>
              <w:rPr>
                <w:rFonts w:ascii="Times New Roman" w:hAnsi="Times New Roman"/>
                <w:kern w:val="2"/>
                <w:sz w:val="24"/>
                <w:szCs w:val="24"/>
              </w:rPr>
            </w:pPr>
            <w:r>
              <w:rPr>
                <w:rFonts w:hint="eastAsia" w:ascii="Times New Roman" w:hAnsi="Times New Roman"/>
                <w:kern w:val="2"/>
                <w:sz w:val="24"/>
                <w:szCs w:val="24"/>
              </w:rPr>
              <w:t>溴化锂溶液再生及维修部分</w:t>
            </w:r>
            <w:r>
              <w:rPr>
                <w:rFonts w:ascii="Times New Roman" w:hAnsi="Times New Roman"/>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溶液再生</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吨</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18</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4000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2</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补充溶液总量</w:t>
            </w:r>
            <w:r>
              <w:rPr>
                <w:rFonts w:ascii="Times New Roman" w:hAnsi="Times New Roman"/>
                <w:kern w:val="2"/>
                <w:sz w:val="24"/>
                <w:szCs w:val="24"/>
              </w:rPr>
              <w:t>18</w:t>
            </w:r>
            <w:r>
              <w:rPr>
                <w:rFonts w:hint="eastAsia" w:ascii="Times New Roman" w:hAnsi="Times New Roman"/>
                <w:kern w:val="2"/>
                <w:sz w:val="24"/>
                <w:szCs w:val="24"/>
              </w:rPr>
              <w:t>吨</w:t>
            </w:r>
            <w:r>
              <w:rPr>
                <w:rFonts w:ascii="Times New Roman" w:hAnsi="Times New Roman"/>
                <w:kern w:val="2"/>
                <w:sz w:val="24"/>
                <w:szCs w:val="24"/>
              </w:rPr>
              <w:t>x20%</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吨</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3.6</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38000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136800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3</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补充增强剂</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升</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40</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120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补充缓蚀剂</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公斤</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40</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280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5</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内腔预膜剂</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公斤</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35</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6</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吸收器冷凝器清洗</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台</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7000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7</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蒸发器清洗</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台</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6000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8</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真空隔膜阀片</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块</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12</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260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9</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液位视镜及密封垫</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台</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800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10</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整机正压查漏</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台</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4</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6000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11</w:t>
            </w: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kern w:val="2"/>
                <w:sz w:val="24"/>
                <w:szCs w:val="24"/>
              </w:rPr>
            </w:pPr>
            <w:r>
              <w:rPr>
                <w:rFonts w:hint="eastAsia" w:ascii="Times New Roman" w:hAnsi="Times New Roman"/>
                <w:kern w:val="2"/>
                <w:sz w:val="24"/>
                <w:szCs w:val="24"/>
              </w:rPr>
              <w:t>溶液回厂再生运费</w:t>
            </w:r>
          </w:p>
        </w:tc>
        <w:tc>
          <w:tcPr>
            <w:tcW w:w="881"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hint="eastAsia" w:ascii="Times New Roman" w:hAnsi="Times New Roman"/>
                <w:kern w:val="2"/>
                <w:sz w:val="24"/>
                <w:szCs w:val="24"/>
              </w:rPr>
              <w:t>吨</w:t>
            </w:r>
          </w:p>
        </w:tc>
        <w:tc>
          <w:tcPr>
            <w:tcW w:w="866"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r>
              <w:rPr>
                <w:rFonts w:ascii="Times New Roman" w:hAnsi="Times New Roman"/>
                <w:kern w:val="2"/>
                <w:sz w:val="24"/>
                <w:szCs w:val="24"/>
              </w:rPr>
              <w:t>18x2</w:t>
            </w:r>
            <w:r>
              <w:rPr>
                <w:rFonts w:hint="eastAsia" w:ascii="Times New Roman" w:hAnsi="Times New Roman"/>
                <w:kern w:val="2"/>
                <w:sz w:val="24"/>
                <w:szCs w:val="24"/>
              </w:rPr>
              <w:t>次</w:t>
            </w:r>
          </w:p>
        </w:tc>
        <w:tc>
          <w:tcPr>
            <w:tcW w:w="135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5000</w:t>
            </w: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kern w:val="2"/>
                <w:sz w:val="24"/>
                <w:szCs w:val="24"/>
                <w:lang w:val="en-US" w:eastAsia="zh-CN"/>
              </w:rPr>
            </w:pPr>
            <w:r>
              <w:rPr>
                <w:rFonts w:hint="eastAsia"/>
                <w:kern w:val="2"/>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kern w:val="2"/>
                <w:sz w:val="24"/>
                <w:szCs w:val="24"/>
              </w:rPr>
            </w:pPr>
          </w:p>
        </w:tc>
        <w:tc>
          <w:tcPr>
            <w:tcW w:w="3411" w:type="dxa"/>
            <w:gridSpan w:val="2"/>
            <w:tcBorders>
              <w:top w:val="single" w:color="auto" w:sz="4" w:space="0"/>
              <w:left w:val="single" w:color="auto" w:sz="4" w:space="0"/>
              <w:bottom w:val="single" w:color="auto" w:sz="4" w:space="0"/>
              <w:right w:val="single" w:color="auto" w:sz="4" w:space="0"/>
            </w:tcBorders>
            <w:noWrap w:val="0"/>
            <w:vAlign w:val="top"/>
          </w:tcPr>
          <w:p>
            <w:pPr>
              <w:ind w:firstLine="0"/>
              <w:rPr>
                <w:rFonts w:ascii="Times New Roman" w:hAnsi="Times New Roman"/>
                <w:b/>
                <w:kern w:val="2"/>
                <w:sz w:val="24"/>
                <w:szCs w:val="24"/>
              </w:rPr>
            </w:pPr>
            <w:r>
              <w:rPr>
                <w:rFonts w:ascii="Times New Roman" w:hAnsi="Times New Roman"/>
                <w:b/>
                <w:kern w:val="2"/>
                <w:sz w:val="24"/>
                <w:szCs w:val="24"/>
              </w:rPr>
              <w:t xml:space="preserve">  </w:t>
            </w:r>
            <w:r>
              <w:rPr>
                <w:rFonts w:hint="eastAsia" w:ascii="Times New Roman" w:hAnsi="Times New Roman"/>
                <w:b/>
                <w:kern w:val="2"/>
                <w:sz w:val="24"/>
                <w:szCs w:val="24"/>
              </w:rPr>
              <w:t>本项合计</w:t>
            </w:r>
          </w:p>
        </w:tc>
        <w:tc>
          <w:tcPr>
            <w:tcW w:w="3104" w:type="dxa"/>
            <w:gridSpan w:val="3"/>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宋体" w:hAnsi="宋体"/>
                <w:b/>
                <w:kern w:val="2"/>
                <w:sz w:val="24"/>
                <w:szCs w:val="24"/>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hint="default" w:ascii="Times New Roman" w:hAnsi="Times New Roman" w:eastAsia="宋体"/>
                <w:b/>
                <w:kern w:val="2"/>
                <w:sz w:val="24"/>
                <w:szCs w:val="24"/>
                <w:lang w:val="en-US" w:eastAsia="zh-CN"/>
              </w:rPr>
            </w:pPr>
            <w:r>
              <w:rPr>
                <w:rFonts w:hint="eastAsia"/>
                <w:b/>
                <w:kern w:val="2"/>
                <w:sz w:val="24"/>
                <w:szCs w:val="24"/>
                <w:lang w:val="en-US" w:eastAsia="zh-CN"/>
              </w:rPr>
              <w:t>324120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b/>
                <w:kern w:val="2"/>
                <w:sz w:val="24"/>
                <w:szCs w:val="24"/>
              </w:rPr>
            </w:pPr>
            <w:r>
              <w:rPr>
                <w:rFonts w:hint="eastAsia" w:ascii="Times New Roman" w:hAnsi="Times New Roman"/>
                <w:b/>
                <w:kern w:val="2"/>
                <w:sz w:val="24"/>
                <w:szCs w:val="24"/>
              </w:rPr>
              <w:t>二</w:t>
            </w:r>
          </w:p>
        </w:tc>
        <w:tc>
          <w:tcPr>
            <w:tcW w:w="7662"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3264"/>
              </w:tabs>
              <w:ind w:left="117" w:firstLine="0"/>
              <w:rPr>
                <w:rFonts w:ascii="Times New Roman" w:hAnsi="Times New Roman"/>
                <w:b/>
                <w:bCs/>
                <w:kern w:val="2"/>
                <w:sz w:val="24"/>
                <w:szCs w:val="24"/>
              </w:rPr>
            </w:pPr>
            <w:r>
              <w:rPr>
                <w:rFonts w:hint="eastAsia" w:ascii="Times New Roman" w:hAnsi="Times New Roman"/>
                <w:b/>
                <w:bCs/>
                <w:kern w:val="2"/>
                <w:sz w:val="24"/>
                <w:szCs w:val="24"/>
              </w:rPr>
              <w:t>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b/>
                <w:kern w:val="2"/>
                <w:sz w:val="24"/>
                <w:szCs w:val="24"/>
              </w:rPr>
            </w:pPr>
            <w:r>
              <w:rPr>
                <w:rFonts w:ascii="Times New Roman" w:hAnsi="Times New Roman"/>
                <w:b/>
                <w:kern w:val="2"/>
                <w:sz w:val="24"/>
                <w:szCs w:val="24"/>
              </w:rPr>
              <w:t>1</w:t>
            </w:r>
          </w:p>
        </w:tc>
        <w:tc>
          <w:tcPr>
            <w:tcW w:w="3346" w:type="dxa"/>
            <w:tcBorders>
              <w:top w:val="single" w:color="auto" w:sz="4" w:space="0"/>
              <w:left w:val="single" w:color="auto" w:sz="4" w:space="0"/>
              <w:bottom w:val="single" w:color="auto" w:sz="4" w:space="0"/>
              <w:right w:val="single" w:color="auto" w:sz="4" w:space="0"/>
            </w:tcBorders>
            <w:noWrap w:val="0"/>
            <w:vAlign w:val="top"/>
          </w:tcPr>
          <w:p>
            <w:pPr>
              <w:tabs>
                <w:tab w:val="left" w:pos="3264"/>
              </w:tabs>
              <w:ind w:firstLine="0"/>
              <w:rPr>
                <w:rFonts w:ascii="Times New Roman" w:hAnsi="Times New Roman"/>
                <w:b/>
                <w:bCs/>
                <w:kern w:val="2"/>
                <w:sz w:val="21"/>
                <w:szCs w:val="21"/>
              </w:rPr>
            </w:pPr>
            <w:r>
              <w:rPr>
                <w:rFonts w:hint="eastAsia" w:ascii="Times New Roman" w:hAnsi="Times New Roman"/>
                <w:b/>
                <w:bCs/>
                <w:kern w:val="2"/>
                <w:sz w:val="21"/>
                <w:szCs w:val="21"/>
              </w:rPr>
              <w:t>人工费（施工辅助</w:t>
            </w:r>
            <w:r>
              <w:rPr>
                <w:rFonts w:hint="eastAsia" w:ascii="宋体" w:hAnsi="宋体"/>
                <w:kern w:val="2"/>
                <w:sz w:val="21"/>
                <w:szCs w:val="21"/>
              </w:rPr>
              <w:t>材料费×10%）</w:t>
            </w:r>
          </w:p>
        </w:tc>
        <w:tc>
          <w:tcPr>
            <w:tcW w:w="4316"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3264"/>
              </w:tabs>
              <w:ind w:left="117" w:firstLine="0"/>
              <w:rPr>
                <w:rFonts w:ascii="Times New Roman" w:hAnsi="Times New Roman"/>
                <w:b/>
                <w:bCs/>
                <w:kern w:val="2"/>
                <w:sz w:val="24"/>
                <w:szCs w:val="24"/>
              </w:rPr>
            </w:pPr>
            <w:r>
              <w:rPr>
                <w:rFonts w:hint="eastAsia"/>
                <w:b/>
                <w:bCs/>
                <w:kern w:val="2"/>
                <w:sz w:val="24"/>
                <w:szCs w:val="24"/>
                <w:lang w:val="en-US" w:eastAsia="zh-CN"/>
              </w:rPr>
              <w:t>32412</w:t>
            </w:r>
            <w:r>
              <w:rPr>
                <w:rFonts w:ascii="Times New Roman" w:hAnsi="Times New Roman"/>
                <w:b/>
                <w:bCs/>
                <w:kern w:val="2"/>
                <w:sz w:val="24"/>
                <w:szCs w:val="24"/>
              </w:rPr>
              <w:t xml:space="preserve">    </w:t>
            </w:r>
            <w:r>
              <w:rPr>
                <w:rFonts w:hint="eastAsia" w:ascii="Times New Roman" w:hAnsi="Times New Roman"/>
                <w:b/>
                <w:bCs/>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b/>
                <w:kern w:val="2"/>
                <w:sz w:val="24"/>
                <w:szCs w:val="24"/>
              </w:rPr>
            </w:pPr>
            <w:r>
              <w:rPr>
                <w:rFonts w:ascii="Times New Roman" w:hAnsi="Times New Roman"/>
                <w:b/>
                <w:kern w:val="2"/>
                <w:sz w:val="24"/>
                <w:szCs w:val="24"/>
              </w:rPr>
              <w:t>2</w:t>
            </w:r>
          </w:p>
        </w:tc>
        <w:tc>
          <w:tcPr>
            <w:tcW w:w="3346" w:type="dxa"/>
            <w:tcBorders>
              <w:top w:val="single" w:color="auto" w:sz="4" w:space="0"/>
              <w:left w:val="single" w:color="auto" w:sz="4" w:space="0"/>
              <w:bottom w:val="single" w:color="auto" w:sz="4" w:space="0"/>
              <w:right w:val="single" w:color="auto" w:sz="4" w:space="0"/>
            </w:tcBorders>
            <w:noWrap w:val="0"/>
            <w:vAlign w:val="top"/>
          </w:tcPr>
          <w:p>
            <w:pPr>
              <w:tabs>
                <w:tab w:val="left" w:pos="3264"/>
              </w:tabs>
              <w:ind w:firstLine="0"/>
              <w:rPr>
                <w:rFonts w:ascii="Times New Roman" w:hAnsi="Times New Roman"/>
                <w:b/>
                <w:bCs/>
                <w:kern w:val="2"/>
                <w:sz w:val="24"/>
                <w:szCs w:val="24"/>
              </w:rPr>
            </w:pPr>
            <w:r>
              <w:rPr>
                <w:rFonts w:hint="eastAsia" w:ascii="Times New Roman" w:hAnsi="Times New Roman"/>
                <w:b/>
                <w:bCs/>
                <w:kern w:val="2"/>
                <w:sz w:val="24"/>
                <w:szCs w:val="24"/>
              </w:rPr>
              <w:t>企业利润</w:t>
            </w:r>
            <w:r>
              <w:rPr>
                <w:rFonts w:ascii="Times New Roman" w:hAnsi="Times New Roman"/>
                <w:b/>
                <w:bCs/>
                <w:kern w:val="2"/>
                <w:sz w:val="24"/>
                <w:szCs w:val="24"/>
              </w:rPr>
              <w:t>+</w:t>
            </w:r>
            <w:r>
              <w:rPr>
                <w:rFonts w:hint="eastAsia" w:ascii="Times New Roman" w:hAnsi="Times New Roman"/>
                <w:b/>
                <w:bCs/>
                <w:kern w:val="2"/>
                <w:sz w:val="24"/>
                <w:szCs w:val="24"/>
              </w:rPr>
              <w:t>管理费</w:t>
            </w:r>
            <w:r>
              <w:rPr>
                <w:rFonts w:hint="eastAsia" w:ascii="宋体" w:hAnsi="宋体"/>
                <w:kern w:val="2"/>
                <w:sz w:val="24"/>
                <w:szCs w:val="24"/>
              </w:rPr>
              <w:t>10%</w:t>
            </w:r>
          </w:p>
        </w:tc>
        <w:tc>
          <w:tcPr>
            <w:tcW w:w="4316"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3264"/>
              </w:tabs>
              <w:ind w:left="117" w:firstLine="0"/>
              <w:rPr>
                <w:rFonts w:ascii="Times New Roman" w:hAnsi="Times New Roman"/>
                <w:b/>
                <w:bCs/>
                <w:kern w:val="2"/>
                <w:sz w:val="24"/>
                <w:szCs w:val="24"/>
              </w:rPr>
            </w:pPr>
            <w:r>
              <w:rPr>
                <w:rFonts w:hint="eastAsia"/>
                <w:b/>
                <w:bCs/>
                <w:kern w:val="2"/>
                <w:sz w:val="24"/>
                <w:szCs w:val="24"/>
                <w:lang w:val="en-US" w:eastAsia="zh-CN"/>
              </w:rPr>
              <w:t>32412</w:t>
            </w:r>
            <w:r>
              <w:rPr>
                <w:rFonts w:ascii="Times New Roman" w:hAnsi="Times New Roman"/>
                <w:b/>
                <w:bCs/>
                <w:kern w:val="2"/>
                <w:sz w:val="24"/>
                <w:szCs w:val="24"/>
              </w:rPr>
              <w:t xml:space="preserve">  </w:t>
            </w:r>
            <w:r>
              <w:rPr>
                <w:rFonts w:hint="eastAsia" w:ascii="Times New Roman" w:hAnsi="Times New Roman"/>
                <w:b/>
                <w:bCs/>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b/>
                <w:kern w:val="2"/>
                <w:sz w:val="24"/>
                <w:szCs w:val="24"/>
              </w:rPr>
            </w:pPr>
            <w:r>
              <w:rPr>
                <w:rFonts w:ascii="Times New Roman" w:hAnsi="Times New Roman"/>
                <w:b/>
                <w:kern w:val="2"/>
                <w:sz w:val="24"/>
                <w:szCs w:val="24"/>
              </w:rPr>
              <w:t>3</w:t>
            </w:r>
          </w:p>
        </w:tc>
        <w:tc>
          <w:tcPr>
            <w:tcW w:w="3346" w:type="dxa"/>
            <w:tcBorders>
              <w:top w:val="single" w:color="auto" w:sz="4" w:space="0"/>
              <w:left w:val="single" w:color="auto" w:sz="4" w:space="0"/>
              <w:bottom w:val="single" w:color="auto" w:sz="4" w:space="0"/>
              <w:right w:val="single" w:color="auto" w:sz="4" w:space="0"/>
            </w:tcBorders>
            <w:noWrap w:val="0"/>
            <w:vAlign w:val="top"/>
          </w:tcPr>
          <w:p>
            <w:pPr>
              <w:tabs>
                <w:tab w:val="left" w:pos="3264"/>
              </w:tabs>
              <w:ind w:firstLine="0"/>
              <w:rPr>
                <w:rFonts w:ascii="Times New Roman" w:hAnsi="Times New Roman"/>
                <w:b/>
                <w:bCs/>
                <w:kern w:val="2"/>
                <w:sz w:val="24"/>
                <w:szCs w:val="24"/>
              </w:rPr>
            </w:pPr>
            <w:r>
              <w:rPr>
                <w:rFonts w:hint="eastAsia" w:ascii="宋体" w:hAnsi="宋体"/>
                <w:b/>
                <w:kern w:val="2"/>
                <w:sz w:val="24"/>
                <w:szCs w:val="24"/>
              </w:rPr>
              <w:t>企业税收</w:t>
            </w:r>
            <w:r>
              <w:rPr>
                <w:rFonts w:ascii="宋体" w:hAnsi="宋体"/>
                <w:b/>
                <w:kern w:val="2"/>
                <w:sz w:val="24"/>
                <w:szCs w:val="24"/>
              </w:rPr>
              <w:t>13</w:t>
            </w:r>
            <w:r>
              <w:rPr>
                <w:rFonts w:hint="eastAsia" w:ascii="宋体" w:hAnsi="宋体"/>
                <w:b/>
                <w:kern w:val="2"/>
                <w:sz w:val="24"/>
                <w:szCs w:val="24"/>
              </w:rPr>
              <w:t>%</w:t>
            </w:r>
          </w:p>
        </w:tc>
        <w:tc>
          <w:tcPr>
            <w:tcW w:w="4316"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3264"/>
              </w:tabs>
              <w:ind w:left="117" w:firstLine="0"/>
              <w:rPr>
                <w:rFonts w:ascii="Times New Roman" w:hAnsi="Times New Roman"/>
                <w:b/>
                <w:bCs/>
                <w:kern w:val="2"/>
                <w:sz w:val="24"/>
                <w:szCs w:val="24"/>
              </w:rPr>
            </w:pPr>
            <w:r>
              <w:rPr>
                <w:rFonts w:hint="eastAsia" w:ascii="Times New Roman" w:hAnsi="Times New Roman"/>
                <w:b/>
                <w:bCs/>
                <w:kern w:val="2"/>
                <w:sz w:val="24"/>
                <w:szCs w:val="24"/>
              </w:rPr>
              <w:t>￥</w:t>
            </w:r>
            <w:r>
              <w:rPr>
                <w:rFonts w:hint="eastAsia"/>
                <w:b/>
                <w:bCs/>
                <w:kern w:val="2"/>
                <w:sz w:val="24"/>
                <w:szCs w:val="24"/>
                <w:lang w:val="en-US" w:eastAsia="zh-CN"/>
              </w:rPr>
              <w:t>42135.6</w:t>
            </w:r>
            <w:r>
              <w:rPr>
                <w:rFonts w:ascii="Times New Roman" w:hAnsi="Times New Roman"/>
                <w:b/>
                <w:bCs/>
                <w:kern w:val="2"/>
                <w:sz w:val="24"/>
                <w:szCs w:val="24"/>
              </w:rPr>
              <w:t xml:space="preserve">  </w:t>
            </w:r>
            <w:r>
              <w:rPr>
                <w:rFonts w:hint="eastAsia" w:ascii="Times New Roman" w:hAnsi="Times New Roman"/>
                <w:b/>
                <w:bCs/>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tcBorders>
              <w:top w:val="single" w:color="auto" w:sz="4" w:space="0"/>
              <w:left w:val="single" w:color="auto" w:sz="4" w:space="0"/>
              <w:bottom w:val="single" w:color="auto" w:sz="4" w:space="0"/>
              <w:right w:val="single" w:color="auto" w:sz="4" w:space="0"/>
            </w:tcBorders>
            <w:noWrap w:val="0"/>
            <w:vAlign w:val="top"/>
          </w:tcPr>
          <w:p>
            <w:pPr>
              <w:ind w:firstLine="0"/>
              <w:jc w:val="center"/>
              <w:rPr>
                <w:rFonts w:ascii="Times New Roman" w:hAnsi="Times New Roman"/>
                <w:b/>
                <w:kern w:val="2"/>
                <w:sz w:val="24"/>
                <w:szCs w:val="24"/>
              </w:rPr>
            </w:pPr>
            <w:r>
              <w:rPr>
                <w:rFonts w:hint="eastAsia" w:ascii="Times New Roman" w:hAnsi="Times New Roman"/>
                <w:b/>
                <w:kern w:val="2"/>
                <w:sz w:val="24"/>
                <w:szCs w:val="24"/>
              </w:rPr>
              <w:t>三</w:t>
            </w:r>
          </w:p>
        </w:tc>
        <w:tc>
          <w:tcPr>
            <w:tcW w:w="3346" w:type="dxa"/>
            <w:tcBorders>
              <w:top w:val="single" w:color="auto" w:sz="4" w:space="0"/>
              <w:left w:val="single" w:color="auto" w:sz="4" w:space="0"/>
              <w:bottom w:val="single" w:color="auto" w:sz="4" w:space="0"/>
              <w:right w:val="single" w:color="auto" w:sz="4" w:space="0"/>
            </w:tcBorders>
            <w:noWrap w:val="0"/>
            <w:vAlign w:val="top"/>
          </w:tcPr>
          <w:p>
            <w:pPr>
              <w:tabs>
                <w:tab w:val="left" w:pos="3264"/>
              </w:tabs>
              <w:ind w:firstLine="0"/>
              <w:rPr>
                <w:rFonts w:ascii="Times New Roman" w:hAnsi="Times New Roman"/>
                <w:b/>
                <w:bCs/>
                <w:kern w:val="2"/>
                <w:sz w:val="24"/>
                <w:szCs w:val="24"/>
              </w:rPr>
            </w:pPr>
            <w:r>
              <w:rPr>
                <w:rFonts w:hint="eastAsia" w:ascii="Times New Roman" w:hAnsi="Times New Roman"/>
                <w:b/>
                <w:bCs/>
                <w:kern w:val="2"/>
                <w:sz w:val="24"/>
                <w:szCs w:val="24"/>
              </w:rPr>
              <w:t>工程总价合计</w:t>
            </w:r>
          </w:p>
        </w:tc>
        <w:tc>
          <w:tcPr>
            <w:tcW w:w="4316"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3264"/>
              </w:tabs>
              <w:ind w:left="117" w:firstLine="0"/>
              <w:rPr>
                <w:rFonts w:ascii="Times New Roman" w:hAnsi="Times New Roman"/>
                <w:b/>
                <w:bCs/>
                <w:kern w:val="2"/>
                <w:sz w:val="24"/>
                <w:szCs w:val="24"/>
              </w:rPr>
            </w:pPr>
            <w:r>
              <w:rPr>
                <w:rFonts w:hint="eastAsia" w:ascii="Times New Roman" w:hAnsi="Times New Roman"/>
                <w:b/>
                <w:bCs/>
                <w:kern w:val="2"/>
                <w:sz w:val="24"/>
                <w:szCs w:val="24"/>
              </w:rPr>
              <w:t>￥</w:t>
            </w:r>
            <w:r>
              <w:rPr>
                <w:rFonts w:hint="eastAsia"/>
                <w:b/>
                <w:bCs/>
                <w:kern w:val="2"/>
                <w:sz w:val="24"/>
                <w:szCs w:val="24"/>
                <w:lang w:val="en-US" w:eastAsia="zh-CN"/>
              </w:rPr>
              <w:t xml:space="preserve">431079.6 </w:t>
            </w:r>
            <w:r>
              <w:rPr>
                <w:rFonts w:hint="eastAsia" w:ascii="Times New Roman" w:hAnsi="Times New Roman"/>
                <w:b/>
                <w:bCs/>
                <w:kern w:val="2"/>
                <w:sz w:val="24"/>
                <w:szCs w:val="24"/>
              </w:rPr>
              <w:t>元</w:t>
            </w:r>
          </w:p>
        </w:tc>
      </w:tr>
    </w:tbl>
    <w:p>
      <w:pPr>
        <w:pStyle w:val="2"/>
        <w:rPr>
          <w:rFonts w:ascii="宋体" w:hAnsi="宋体"/>
          <w:b/>
          <w:sz w:val="24"/>
        </w:rPr>
        <w:sectPr>
          <w:footerReference r:id="rId11" w:type="default"/>
          <w:pgSz w:w="11906" w:h="16838"/>
          <w:pgMar w:top="1247" w:right="1418" w:bottom="454" w:left="1418" w:header="851" w:footer="992" w:gutter="0"/>
          <w:pgNumType w:fmt="decimal"/>
          <w:cols w:space="720" w:num="1"/>
          <w:docGrid w:linePitch="312" w:charSpace="0"/>
        </w:sectPr>
      </w:pPr>
    </w:p>
    <w:p>
      <w:pPr>
        <w:snapToGrid w:val="0"/>
        <w:spacing w:line="300" w:lineRule="auto"/>
        <w:jc w:val="both"/>
        <w:rPr>
          <w:rFonts w:ascii="宋体" w:hAnsi="宋体"/>
          <w:b/>
          <w:sz w:val="24"/>
        </w:rPr>
      </w:pPr>
      <w:bookmarkStart w:id="4" w:name="_Toc226538060"/>
      <w:bookmarkStart w:id="5" w:name="_Toc184635144"/>
    </w:p>
    <w:p>
      <w:pPr>
        <w:pStyle w:val="3"/>
        <w:spacing w:line="360" w:lineRule="auto"/>
        <w:jc w:val="center"/>
        <w:rPr>
          <w:rFonts w:hint="eastAsia" w:ascii="华文中宋" w:hAnsi="华文中宋" w:eastAsia="华文中宋"/>
          <w:b w:val="0"/>
          <w:sz w:val="36"/>
          <w:szCs w:val="36"/>
          <w:lang w:eastAsia="zh-CN"/>
        </w:rPr>
      </w:pPr>
      <w:bookmarkStart w:id="6" w:name="_Toc7282"/>
      <w:r>
        <w:rPr>
          <w:rFonts w:hint="eastAsia" w:ascii="华文中宋" w:hAnsi="华文中宋" w:eastAsia="华文中宋"/>
          <w:b w:val="0"/>
          <w:sz w:val="36"/>
          <w:szCs w:val="36"/>
          <w:lang w:eastAsia="zh-CN"/>
        </w:rPr>
        <w:t>六</w:t>
      </w:r>
      <w:r>
        <w:rPr>
          <w:rFonts w:hint="eastAsia" w:ascii="华文中宋" w:hAnsi="华文中宋" w:eastAsia="华文中宋"/>
          <w:b w:val="0"/>
          <w:sz w:val="36"/>
          <w:szCs w:val="36"/>
        </w:rPr>
        <w:t>、施工</w:t>
      </w:r>
      <w:bookmarkEnd w:id="4"/>
      <w:bookmarkEnd w:id="5"/>
      <w:bookmarkEnd w:id="6"/>
      <w:r>
        <w:rPr>
          <w:rFonts w:hint="eastAsia" w:ascii="华文中宋" w:hAnsi="华文中宋" w:eastAsia="华文中宋"/>
          <w:b w:val="0"/>
          <w:sz w:val="36"/>
          <w:szCs w:val="36"/>
          <w:lang w:eastAsia="zh-CN"/>
        </w:rPr>
        <w:t>方案</w:t>
      </w:r>
    </w:p>
    <w:p>
      <w:pPr>
        <w:widowControl/>
        <w:numPr>
          <w:ilvl w:val="0"/>
          <w:numId w:val="1"/>
        </w:numPr>
        <w:adjustRightInd w:val="0"/>
        <w:snapToGrid w:val="0"/>
        <w:spacing w:line="480" w:lineRule="auto"/>
        <w:ind w:left="46" w:hanging="45" w:hangingChars="19"/>
        <w:rPr>
          <w:rFonts w:ascii="宋体" w:hAnsi="宋体" w:cs="宋体"/>
          <w:sz w:val="24"/>
        </w:rPr>
      </w:pPr>
      <w:bookmarkStart w:id="7" w:name="_Toc184635146"/>
      <w:bookmarkStart w:id="8" w:name="_Toc226538070"/>
      <w:r>
        <w:rPr>
          <w:rFonts w:hint="eastAsia" w:ascii="宋体" w:hAnsi="宋体" w:cs="宋体"/>
          <w:sz w:val="24"/>
        </w:rPr>
        <w:t>概述：</w:t>
      </w:r>
    </w:p>
    <w:p>
      <w:pPr>
        <w:widowControl/>
        <w:adjustRightInd w:val="0"/>
        <w:snapToGrid w:val="0"/>
        <w:spacing w:line="480" w:lineRule="auto"/>
        <w:ind w:right="-50" w:rightChars="-24" w:firstLine="480" w:firstLineChars="200"/>
        <w:rPr>
          <w:rFonts w:ascii="宋体" w:hAnsi="宋体" w:cs="宋体"/>
          <w:color w:val="000000"/>
          <w:sz w:val="24"/>
        </w:rPr>
      </w:pPr>
      <w:r>
        <w:rPr>
          <w:rFonts w:hint="eastAsia" w:ascii="宋体" w:hAnsi="宋体" w:cs="宋体"/>
          <w:sz w:val="24"/>
        </w:rPr>
        <w:t>为了更好地完成</w:t>
      </w:r>
      <w:r>
        <w:rPr>
          <w:rFonts w:hint="eastAsia" w:ascii="宋体" w:hAnsi="宋体" w:cs="宋体"/>
          <w:color w:val="000000"/>
          <w:sz w:val="24"/>
          <w:lang w:eastAsia="zh-CN"/>
        </w:rPr>
        <w:t>同成街店四台直燃机溶液再生及机组捡漏清洗</w:t>
      </w:r>
      <w:r>
        <w:rPr>
          <w:rFonts w:hint="eastAsia" w:ascii="宋体" w:hAnsi="宋体" w:cs="宋体"/>
          <w:color w:val="000000"/>
          <w:sz w:val="24"/>
        </w:rPr>
        <w:t>工程，保证施工安全制定如下方案。</w:t>
      </w:r>
    </w:p>
    <w:p>
      <w:pPr>
        <w:pStyle w:val="22"/>
        <w:widowControl/>
        <w:numPr>
          <w:ilvl w:val="0"/>
          <w:numId w:val="2"/>
        </w:numPr>
        <w:adjustRightInd w:val="0"/>
        <w:snapToGrid w:val="0"/>
        <w:spacing w:line="480" w:lineRule="auto"/>
        <w:ind w:left="5" w:leftChars="0" w:hanging="5" w:firstLineChars="0"/>
        <w:outlineLvl w:val="1"/>
        <w:rPr>
          <w:rFonts w:ascii="宋体" w:hAnsi="宋体" w:cs="宋体"/>
        </w:rPr>
      </w:pPr>
      <w:bookmarkStart w:id="9" w:name="_Toc22785"/>
      <w:r>
        <w:rPr>
          <w:rFonts w:hint="eastAsia" w:ascii="宋体" w:hAnsi="宋体" w:cs="宋体"/>
        </w:rPr>
        <w:t>溴冷机的气密性全面检查：</w:t>
      </w:r>
      <w:bookmarkEnd w:id="9"/>
    </w:p>
    <w:p>
      <w:pPr>
        <w:pStyle w:val="22"/>
        <w:widowControl/>
        <w:numPr>
          <w:ilvl w:val="0"/>
          <w:numId w:val="3"/>
        </w:numPr>
        <w:adjustRightInd w:val="0"/>
        <w:snapToGrid w:val="0"/>
        <w:spacing w:line="480" w:lineRule="auto"/>
        <w:ind w:leftChars="0" w:firstLineChars="0"/>
        <w:rPr>
          <w:rFonts w:ascii="宋体" w:hAnsi="宋体" w:cs="宋体"/>
        </w:rPr>
      </w:pPr>
      <w:r>
        <w:rPr>
          <w:rFonts w:hint="eastAsia" w:ascii="宋体" w:hAnsi="宋体" w:cs="宋体"/>
        </w:rPr>
        <w:t>各动静密封点的密封程度，是否有泄露---密封件全部更换并正压检漏、保压；</w:t>
      </w:r>
    </w:p>
    <w:p>
      <w:pPr>
        <w:pStyle w:val="22"/>
        <w:widowControl/>
        <w:numPr>
          <w:ilvl w:val="0"/>
          <w:numId w:val="3"/>
        </w:numPr>
        <w:adjustRightInd w:val="0"/>
        <w:snapToGrid w:val="0"/>
        <w:spacing w:line="480" w:lineRule="auto"/>
        <w:ind w:leftChars="0" w:firstLineChars="0"/>
        <w:rPr>
          <w:rFonts w:ascii="宋体" w:hAnsi="宋体" w:cs="宋体"/>
        </w:rPr>
      </w:pPr>
      <w:r>
        <w:rPr>
          <w:rFonts w:hint="eastAsia" w:ascii="宋体" w:hAnsi="宋体" w:cs="宋体"/>
        </w:rPr>
        <w:t>溴冷机的真空泵抽气能力检查：</w:t>
      </w:r>
    </w:p>
    <w:p>
      <w:pPr>
        <w:pStyle w:val="22"/>
        <w:widowControl/>
        <w:numPr>
          <w:ilvl w:val="0"/>
          <w:numId w:val="4"/>
        </w:numPr>
        <w:adjustRightInd w:val="0"/>
        <w:snapToGrid w:val="0"/>
        <w:spacing w:line="480" w:lineRule="auto"/>
        <w:ind w:left="660" w:leftChars="0" w:hanging="240" w:firstLineChars="0"/>
        <w:rPr>
          <w:rFonts w:ascii="宋体" w:hAnsi="宋体" w:cs="宋体"/>
        </w:rPr>
      </w:pPr>
      <w:r>
        <w:rPr>
          <w:rFonts w:hint="eastAsia" w:ascii="宋体" w:hAnsi="宋体" w:cs="宋体"/>
        </w:rPr>
        <w:tab/>
      </w:r>
      <w:r>
        <w:rPr>
          <w:rFonts w:hint="eastAsia" w:ascii="宋体" w:hAnsi="宋体" w:cs="宋体"/>
        </w:rPr>
        <w:t>真空泵油的污浊与乳化---更换真空油并清洗真空泵；</w:t>
      </w:r>
    </w:p>
    <w:p>
      <w:pPr>
        <w:pStyle w:val="22"/>
        <w:widowControl/>
        <w:numPr>
          <w:ilvl w:val="0"/>
          <w:numId w:val="4"/>
        </w:numPr>
        <w:adjustRightInd w:val="0"/>
        <w:snapToGrid w:val="0"/>
        <w:spacing w:line="480" w:lineRule="auto"/>
        <w:ind w:left="660" w:leftChars="0" w:hanging="240" w:firstLineChars="0"/>
        <w:rPr>
          <w:rFonts w:ascii="宋体" w:hAnsi="宋体" w:cs="宋体"/>
        </w:rPr>
      </w:pPr>
      <w:r>
        <w:rPr>
          <w:rFonts w:hint="eastAsia" w:ascii="宋体" w:hAnsi="宋体" w:cs="宋体"/>
        </w:rPr>
        <w:tab/>
      </w:r>
      <w:r>
        <w:rPr>
          <w:rFonts w:hint="eastAsia" w:ascii="宋体" w:hAnsi="宋体" w:cs="宋体"/>
        </w:rPr>
        <w:t>抽真空性能---极限真空达到0.06Pa；</w:t>
      </w:r>
    </w:p>
    <w:p>
      <w:pPr>
        <w:pStyle w:val="22"/>
        <w:widowControl/>
        <w:numPr>
          <w:ilvl w:val="0"/>
          <w:numId w:val="4"/>
        </w:numPr>
        <w:adjustRightInd w:val="0"/>
        <w:snapToGrid w:val="0"/>
        <w:spacing w:line="480" w:lineRule="auto"/>
        <w:ind w:left="660" w:leftChars="0" w:hanging="240" w:firstLineChars="0"/>
        <w:rPr>
          <w:rFonts w:ascii="宋体" w:hAnsi="宋体" w:cs="宋体"/>
        </w:rPr>
      </w:pPr>
      <w:r>
        <w:rPr>
          <w:rFonts w:hint="eastAsia" w:ascii="宋体" w:hAnsi="宋体" w:cs="宋体"/>
        </w:rPr>
        <w:tab/>
      </w:r>
      <w:r>
        <w:rPr>
          <w:rFonts w:hint="eastAsia" w:ascii="宋体" w:hAnsi="宋体" w:cs="宋体"/>
        </w:rPr>
        <w:t>传送皮带的松紧----适中；</w:t>
      </w:r>
    </w:p>
    <w:p>
      <w:pPr>
        <w:pStyle w:val="22"/>
        <w:widowControl/>
        <w:numPr>
          <w:ilvl w:val="0"/>
          <w:numId w:val="4"/>
        </w:numPr>
        <w:adjustRightInd w:val="0"/>
        <w:snapToGrid w:val="0"/>
        <w:spacing w:line="480" w:lineRule="auto"/>
        <w:ind w:left="660" w:leftChars="0" w:hanging="240" w:firstLineChars="0"/>
        <w:rPr>
          <w:rFonts w:ascii="宋体" w:hAnsi="宋体" w:cs="宋体"/>
        </w:rPr>
      </w:pPr>
      <w:r>
        <w:rPr>
          <w:rFonts w:hint="eastAsia" w:ascii="宋体" w:hAnsi="宋体" w:cs="宋体"/>
        </w:rPr>
        <w:tab/>
      </w:r>
      <w:r>
        <w:rPr>
          <w:rFonts w:hint="eastAsia" w:ascii="宋体" w:hAnsi="宋体" w:cs="宋体"/>
        </w:rPr>
        <w:t>电动机的绝缘电阻---良好。</w:t>
      </w:r>
    </w:p>
    <w:p>
      <w:pPr>
        <w:pStyle w:val="22"/>
        <w:widowControl/>
        <w:numPr>
          <w:ilvl w:val="0"/>
          <w:numId w:val="3"/>
        </w:numPr>
        <w:adjustRightInd w:val="0"/>
        <w:snapToGrid w:val="0"/>
        <w:spacing w:line="480" w:lineRule="auto"/>
        <w:ind w:leftChars="0" w:firstLineChars="0"/>
        <w:rPr>
          <w:rFonts w:ascii="宋体" w:hAnsi="宋体" w:cs="宋体"/>
        </w:rPr>
      </w:pPr>
      <w:r>
        <w:rPr>
          <w:rFonts w:hint="eastAsia" w:ascii="宋体" w:hAnsi="宋体" w:cs="宋体"/>
        </w:rPr>
        <w:t>自动抽气装置、钯分离器的抽气或自动排气效果正常；</w:t>
      </w:r>
    </w:p>
    <w:p>
      <w:pPr>
        <w:pStyle w:val="22"/>
        <w:widowControl/>
        <w:numPr>
          <w:ilvl w:val="0"/>
          <w:numId w:val="3"/>
        </w:numPr>
        <w:adjustRightInd w:val="0"/>
        <w:snapToGrid w:val="0"/>
        <w:spacing w:line="480" w:lineRule="auto"/>
        <w:ind w:leftChars="0" w:firstLineChars="0"/>
        <w:rPr>
          <w:rFonts w:ascii="宋体" w:hAnsi="宋体" w:cs="宋体"/>
        </w:rPr>
      </w:pPr>
      <w:r>
        <w:rPr>
          <w:rFonts w:hint="eastAsia" w:ascii="宋体" w:hAnsi="宋体" w:cs="宋体"/>
        </w:rPr>
        <w:t>真空压力表读数是否正常；</w:t>
      </w:r>
    </w:p>
    <w:p>
      <w:pPr>
        <w:pStyle w:val="22"/>
        <w:widowControl/>
        <w:numPr>
          <w:ilvl w:val="0"/>
          <w:numId w:val="3"/>
        </w:numPr>
        <w:adjustRightInd w:val="0"/>
        <w:snapToGrid w:val="0"/>
        <w:spacing w:line="480" w:lineRule="auto"/>
        <w:ind w:leftChars="0" w:firstLineChars="0"/>
        <w:rPr>
          <w:rFonts w:ascii="宋体" w:hAnsi="宋体" w:cs="宋体"/>
        </w:rPr>
      </w:pPr>
      <w:r>
        <w:rPr>
          <w:rFonts w:hint="eastAsia" w:ascii="宋体" w:hAnsi="宋体" w:cs="宋体"/>
        </w:rPr>
        <w:t>根据溴冷机运行记录及对各台吸收器的损失测定确定机组是否存在泄露；再采用压力试验法对各台机组进行测漏试验。</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 xml:space="preserve"> （1）机组进行加压试验(0.08Mpa),并保证24小时后不减压。</w:t>
      </w:r>
    </w:p>
    <w:p>
      <w:pPr>
        <w:adjustRightInd w:val="0"/>
        <w:snapToGrid w:val="0"/>
        <w:spacing w:line="480" w:lineRule="auto"/>
        <w:ind w:left="938" w:leftChars="218" w:hanging="480" w:hangingChars="200"/>
        <w:jc w:val="left"/>
        <w:rPr>
          <w:rFonts w:ascii="宋体" w:hAnsi="宋体" w:cs="宋体"/>
          <w:sz w:val="24"/>
        </w:rPr>
      </w:pPr>
      <w:r>
        <w:rPr>
          <w:rFonts w:hint="eastAsia" w:ascii="宋体" w:hAnsi="宋体" w:cs="宋体"/>
          <w:sz w:val="24"/>
        </w:rPr>
        <w:t>（2）对机组进行负压试验(-700mmHg)，并确认真空上升率24小时不大于0.2mmHg。</w:t>
      </w:r>
    </w:p>
    <w:p>
      <w:pPr>
        <w:adjustRightInd w:val="0"/>
        <w:snapToGrid w:val="0"/>
        <w:spacing w:line="480" w:lineRule="auto"/>
        <w:ind w:left="938" w:leftChars="218" w:hanging="480" w:hangingChars="200"/>
        <w:jc w:val="left"/>
        <w:rPr>
          <w:rFonts w:ascii="宋体" w:hAnsi="宋体" w:cs="宋体"/>
          <w:sz w:val="24"/>
        </w:rPr>
      </w:pPr>
      <w:r>
        <w:rPr>
          <w:rFonts w:hint="eastAsia" w:ascii="宋体" w:hAnsi="宋体" w:cs="宋体"/>
          <w:sz w:val="24"/>
        </w:rPr>
        <w:t xml:space="preserve">（3）做好气密试验报告。   </w:t>
      </w:r>
    </w:p>
    <w:p>
      <w:pPr>
        <w:widowControl/>
        <w:numPr>
          <w:ilvl w:val="0"/>
          <w:numId w:val="0"/>
        </w:numPr>
        <w:adjustRightInd w:val="0"/>
        <w:snapToGrid w:val="0"/>
        <w:spacing w:line="480" w:lineRule="auto"/>
        <w:ind w:leftChars="0"/>
        <w:outlineLvl w:val="1"/>
        <w:rPr>
          <w:rFonts w:ascii="宋体" w:hAnsi="宋体" w:cs="宋体"/>
          <w:sz w:val="24"/>
        </w:rPr>
      </w:pPr>
      <w:bookmarkStart w:id="10" w:name="_Toc25450"/>
      <w:r>
        <w:rPr>
          <w:rFonts w:hint="eastAsia" w:ascii="宋体" w:hAnsi="宋体" w:cs="宋体"/>
          <w:sz w:val="24"/>
          <w:lang w:eastAsia="zh-CN"/>
        </w:rPr>
        <w:t>二、</w:t>
      </w:r>
      <w:r>
        <w:rPr>
          <w:rFonts w:hint="eastAsia" w:ascii="宋体" w:hAnsi="宋体" w:cs="宋体"/>
          <w:sz w:val="24"/>
        </w:rPr>
        <w:t>冷凝器、吸收器和蒸发器清洗预膜</w:t>
      </w:r>
      <w:bookmarkEnd w:id="10"/>
    </w:p>
    <w:p>
      <w:pPr>
        <w:widowControl/>
        <w:tabs>
          <w:tab w:val="left" w:pos="0"/>
        </w:tabs>
        <w:adjustRightInd w:val="0"/>
        <w:snapToGrid w:val="0"/>
        <w:spacing w:afterAutospacing="1" w:line="480" w:lineRule="auto"/>
        <w:rPr>
          <w:rFonts w:ascii="宋体" w:hAnsi="宋体" w:cs="宋体"/>
          <w:kern w:val="0"/>
          <w:sz w:val="24"/>
        </w:rPr>
      </w:pPr>
      <w:r>
        <w:rPr>
          <w:rFonts w:hint="eastAsia" w:ascii="宋体" w:hAnsi="宋体" w:cs="宋体"/>
          <w:kern w:val="0"/>
          <w:sz w:val="24"/>
        </w:rPr>
        <w:t xml:space="preserve">清洗意义： </w:t>
      </w:r>
    </w:p>
    <w:p>
      <w:pPr>
        <w:widowControl/>
        <w:adjustRightInd w:val="0"/>
        <w:snapToGrid w:val="0"/>
        <w:spacing w:afterAutospacing="1" w:line="480" w:lineRule="auto"/>
        <w:ind w:firstLine="480" w:firstLineChars="200"/>
        <w:jc w:val="left"/>
        <w:rPr>
          <w:rFonts w:hint="eastAsia" w:ascii="宋体" w:hAnsi="宋体" w:cs="宋体"/>
          <w:kern w:val="0"/>
          <w:sz w:val="24"/>
        </w:rPr>
        <w:sectPr>
          <w:footerReference r:id="rId12" w:type="default"/>
          <w:pgSz w:w="11906" w:h="16838"/>
          <w:pgMar w:top="1247" w:right="1418" w:bottom="993" w:left="1418" w:header="851" w:footer="992" w:gutter="0"/>
          <w:pgNumType w:fmt="decimal"/>
          <w:cols w:space="720" w:num="1"/>
          <w:docGrid w:linePitch="312" w:charSpace="0"/>
        </w:sectPr>
      </w:pPr>
    </w:p>
    <w:p>
      <w:pPr>
        <w:widowControl/>
        <w:adjustRightInd w:val="0"/>
        <w:snapToGrid w:val="0"/>
        <w:spacing w:afterAutospacing="1" w:line="480" w:lineRule="auto"/>
        <w:ind w:firstLine="480" w:firstLineChars="200"/>
        <w:jc w:val="left"/>
        <w:rPr>
          <w:rFonts w:ascii="宋体" w:hAnsi="宋体" w:cs="宋体"/>
          <w:kern w:val="0"/>
          <w:sz w:val="24"/>
        </w:rPr>
      </w:pPr>
      <w:r>
        <w:rPr>
          <w:rFonts w:hint="eastAsia" w:ascii="宋体" w:hAnsi="宋体" w:cs="宋体"/>
          <w:kern w:val="0"/>
          <w:sz w:val="24"/>
        </w:rPr>
        <w:t xml:space="preserve">中央空调机组运行时，结垢、生物藻类生长及氧腐蚀是困扰机组运行的三大难题，直接关系到机组运行安全及运行成本，如何科学经济处理这些问题，我们提供如下意见，供客户参考。首先是结垢问题，由于北京地区水质较硬，一般总硬度都在300㎎/L左右，有些地区高达450㎎/L以上，这种高硬度水质，尤其是冷却水未作水处理的机组，对中央空调运行来说无疑是有害的，易造成主机冷凝器铜管内及冷却塔填料上结垢，一般每年结垢0.5㎜左右，由于水垢的导热系数为 1.1左右，而紫铜管导热系数为170，二者差异悬殊，水垢的形成，直接影响了机组的热交换率，因而影响制冷效果。同时易造成垢下腐蚀等诸多问题。据测算，当铜管内结垢0.8㎜，主机制冷效率下降40%。因设备结垢，每年浪费的能源费及缩短设备使用周期，增加设备折旧费两项之和，是清洗费的4-6倍。 </w:t>
      </w:r>
    </w:p>
    <w:p>
      <w:pPr>
        <w:widowControl/>
        <w:adjustRightInd w:val="0"/>
        <w:snapToGrid w:val="0"/>
        <w:spacing w:afterAutospacing="1" w:line="480" w:lineRule="auto"/>
        <w:ind w:firstLine="480" w:firstLineChars="200"/>
        <w:jc w:val="left"/>
        <w:rPr>
          <w:rFonts w:ascii="宋体" w:hAnsi="宋体" w:cs="宋体"/>
          <w:kern w:val="0"/>
          <w:sz w:val="24"/>
        </w:rPr>
      </w:pPr>
      <w:r>
        <w:rPr>
          <w:rFonts w:hint="eastAsia" w:ascii="宋体" w:hAnsi="宋体" w:cs="宋体"/>
          <w:kern w:val="0"/>
          <w:sz w:val="24"/>
        </w:rPr>
        <w:t>在冷却水系统中，尤其是冷却塔内，适宜的温度、湿度、水分和阳光给生物藻类繁殖生长提供了优越的条件。在冷却水系统内滋生了大量的生物藻类和藻泥，这些藻泥随冷却水循环到系统各处，会堵塞过滤网，堵塞冷凝器，使冷却水流量减小，因而使主机产生高温、高压，甚至自动保护停机。严重影响使用。清洗时加入杀菌灭藻剂，使生物藻类死亡脱落，彻底根除藻类危害。</w:t>
      </w:r>
    </w:p>
    <w:p>
      <w:pPr>
        <w:widowControl/>
        <w:adjustRightInd w:val="0"/>
        <w:snapToGrid w:val="0"/>
        <w:spacing w:afterAutospacing="1" w:line="480" w:lineRule="auto"/>
        <w:ind w:firstLine="480" w:firstLineChars="200"/>
        <w:jc w:val="left"/>
        <w:rPr>
          <w:rFonts w:ascii="宋体" w:hAnsi="宋体" w:cs="宋体"/>
          <w:kern w:val="0"/>
          <w:sz w:val="24"/>
        </w:rPr>
      </w:pPr>
      <w:r>
        <w:rPr>
          <w:rFonts w:hint="eastAsia" w:ascii="宋体" w:hAnsi="宋体" w:cs="宋体"/>
          <w:kern w:val="0"/>
          <w:sz w:val="24"/>
        </w:rPr>
        <w:t>系统氧腐蚀问题也很严重，我们常见的锈水（红水）和铁锈渣就是氧腐蚀产物，这些锈渣同样会堵塞过滤网，甚至损坏过滤网，堵塞主机冷凝器，造成机组水流不畅，热交换效率低下，制冷量下降，严重时危及机组安全。</w:t>
      </w:r>
    </w:p>
    <w:p>
      <w:pPr>
        <w:widowControl/>
        <w:adjustRightInd w:val="0"/>
        <w:snapToGrid w:val="0"/>
        <w:spacing w:afterAutospacing="1" w:line="480" w:lineRule="auto"/>
        <w:ind w:firstLine="480" w:firstLineChars="200"/>
        <w:jc w:val="left"/>
        <w:rPr>
          <w:rFonts w:ascii="宋体" w:hAnsi="宋体" w:cs="宋体"/>
          <w:kern w:val="0"/>
          <w:sz w:val="24"/>
        </w:rPr>
      </w:pPr>
      <w:r>
        <w:rPr>
          <w:rFonts w:hint="eastAsia" w:ascii="宋体" w:hAnsi="宋体" w:cs="宋体"/>
          <w:kern w:val="0"/>
          <w:sz w:val="24"/>
        </w:rPr>
        <w:t>综上所述，中央空调运行时应做水处理（尤其是冷却水系统）以彻底解决结垢、生物藻类及氧腐蚀等问题，使水质符合机组运行要求，达到高效、安全、经济运行目的，经济效益明显。</w:t>
      </w:r>
    </w:p>
    <w:p>
      <w:pPr>
        <w:widowControl/>
        <w:tabs>
          <w:tab w:val="left" w:pos="0"/>
        </w:tabs>
        <w:adjustRightInd w:val="0"/>
        <w:snapToGrid w:val="0"/>
        <w:spacing w:afterAutospacing="1" w:line="480" w:lineRule="auto"/>
        <w:ind w:left="480" w:hanging="480" w:hangingChars="200"/>
        <w:rPr>
          <w:rFonts w:hint="eastAsia" w:ascii="宋体" w:hAnsi="宋体" w:cs="宋体"/>
          <w:kern w:val="0"/>
          <w:sz w:val="24"/>
        </w:rPr>
        <w:sectPr>
          <w:footerReference r:id="rId13" w:type="default"/>
          <w:pgSz w:w="11906" w:h="16838"/>
          <w:pgMar w:top="1247" w:right="1418" w:bottom="993" w:left="1418" w:header="851" w:footer="992" w:gutter="0"/>
          <w:pgNumType w:fmt="decimal"/>
          <w:cols w:space="720" w:num="1"/>
          <w:docGrid w:linePitch="312" w:charSpace="0"/>
        </w:sectPr>
      </w:pPr>
    </w:p>
    <w:p>
      <w:pPr>
        <w:widowControl/>
        <w:tabs>
          <w:tab w:val="left" w:pos="0"/>
        </w:tabs>
        <w:adjustRightInd w:val="0"/>
        <w:snapToGrid w:val="0"/>
        <w:spacing w:afterAutospacing="1" w:line="480" w:lineRule="auto"/>
        <w:ind w:left="480" w:hanging="480" w:hangingChars="200"/>
        <w:rPr>
          <w:rFonts w:ascii="宋体" w:hAnsi="宋体" w:cs="宋体"/>
          <w:kern w:val="0"/>
          <w:sz w:val="24"/>
        </w:rPr>
      </w:pPr>
      <w:r>
        <w:rPr>
          <w:rFonts w:hint="eastAsia" w:ascii="宋体" w:hAnsi="宋体" w:cs="宋体"/>
          <w:kern w:val="0"/>
          <w:sz w:val="24"/>
        </w:rPr>
        <w:t xml:space="preserve">清洗药剂： </w:t>
      </w:r>
    </w:p>
    <w:p>
      <w:pPr>
        <w:widowControl/>
        <w:numPr>
          <w:ilvl w:val="0"/>
          <w:numId w:val="5"/>
        </w:numPr>
        <w:tabs>
          <w:tab w:val="left" w:pos="440"/>
        </w:tabs>
        <w:adjustRightInd w:val="0"/>
        <w:snapToGrid w:val="0"/>
        <w:spacing w:afterAutospacing="1" w:line="480" w:lineRule="auto"/>
        <w:ind w:left="502" w:hanging="501" w:hangingChars="209"/>
        <w:rPr>
          <w:rFonts w:ascii="宋体" w:hAnsi="宋体" w:cs="宋体"/>
          <w:kern w:val="0"/>
          <w:sz w:val="24"/>
        </w:rPr>
      </w:pPr>
      <w:r>
        <w:rPr>
          <w:rFonts w:hint="eastAsia" w:ascii="宋体" w:hAnsi="宋体" w:cs="宋体"/>
          <w:kern w:val="0"/>
          <w:sz w:val="24"/>
        </w:rPr>
        <w:t xml:space="preserve">安全高效除垢剂：能快速溶解各种水垢，除垢率达98%以上，且对设备无腐蚀、无损伤、无垢渣、不脱落沉淀，不堵塞管道。对人体无害、无毒，废液符合环保排放。 </w:t>
      </w:r>
    </w:p>
    <w:p>
      <w:pPr>
        <w:widowControl/>
        <w:numPr>
          <w:ilvl w:val="0"/>
          <w:numId w:val="5"/>
        </w:numPr>
        <w:tabs>
          <w:tab w:val="left" w:pos="440"/>
        </w:tabs>
        <w:adjustRightInd w:val="0"/>
        <w:snapToGrid w:val="0"/>
        <w:spacing w:afterAutospacing="1" w:line="480" w:lineRule="auto"/>
        <w:ind w:left="502" w:hanging="501" w:hangingChars="209"/>
        <w:rPr>
          <w:rFonts w:ascii="宋体" w:hAnsi="宋体" w:cs="宋体"/>
          <w:sz w:val="24"/>
        </w:rPr>
      </w:pPr>
      <w:r>
        <w:rPr>
          <w:rFonts w:hint="eastAsia" w:ascii="宋体" w:hAnsi="宋体" w:cs="宋体"/>
          <w:kern w:val="0"/>
          <w:sz w:val="24"/>
        </w:rPr>
        <w:t>预膜剂：</w:t>
      </w:r>
      <w:r>
        <w:rPr>
          <w:rFonts w:hint="eastAsia" w:ascii="宋体" w:hAnsi="宋体" w:cs="宋体"/>
          <w:sz w:val="24"/>
        </w:rPr>
        <w:t>本品能在清洗干净的系统管道各处预制一层保护薄膜，起防止氧腐蚀和减缓结垢的作用。</w:t>
      </w:r>
    </w:p>
    <w:p>
      <w:pPr>
        <w:widowControl/>
        <w:tabs>
          <w:tab w:val="left" w:pos="0"/>
          <w:tab w:val="left" w:pos="1080"/>
        </w:tabs>
        <w:adjustRightInd w:val="0"/>
        <w:snapToGrid w:val="0"/>
        <w:spacing w:afterAutospacing="1" w:line="48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主机冷凝器除垢除污清洗</w:t>
      </w:r>
    </w:p>
    <w:p>
      <w:pPr>
        <w:widowControl/>
        <w:numPr>
          <w:ilvl w:val="0"/>
          <w:numId w:val="6"/>
        </w:numPr>
        <w:tabs>
          <w:tab w:val="left" w:pos="440"/>
          <w:tab w:val="left" w:pos="1080"/>
        </w:tabs>
        <w:adjustRightInd w:val="0"/>
        <w:snapToGrid w:val="0"/>
        <w:spacing w:afterAutospacing="1" w:line="480" w:lineRule="auto"/>
        <w:ind w:left="502" w:hanging="501" w:hangingChars="209"/>
        <w:rPr>
          <w:rFonts w:ascii="宋体" w:hAnsi="宋体" w:cs="宋体"/>
          <w:sz w:val="24"/>
        </w:rPr>
      </w:pPr>
      <w:r>
        <w:rPr>
          <w:rFonts w:hint="eastAsia" w:ascii="宋体" w:hAnsi="宋体" w:cs="宋体"/>
          <w:sz w:val="24"/>
        </w:rPr>
        <w:t>关闭进出水管阀门，在冷却系统进出水管之间建立临时循环系统（可以拆下温度计、压力表、排气、排污阀等，用软管与机外循环泵连接）；</w:t>
      </w:r>
    </w:p>
    <w:p>
      <w:pPr>
        <w:widowControl/>
        <w:numPr>
          <w:ilvl w:val="0"/>
          <w:numId w:val="6"/>
        </w:numPr>
        <w:tabs>
          <w:tab w:val="left" w:pos="440"/>
        </w:tabs>
        <w:adjustRightInd w:val="0"/>
        <w:snapToGrid w:val="0"/>
        <w:spacing w:afterAutospacing="1" w:line="480" w:lineRule="auto"/>
        <w:ind w:left="502" w:hanging="501" w:hangingChars="209"/>
        <w:rPr>
          <w:rFonts w:ascii="宋体" w:hAnsi="宋体" w:cs="宋体"/>
          <w:sz w:val="24"/>
        </w:rPr>
      </w:pPr>
      <w:r>
        <w:rPr>
          <w:rFonts w:hint="eastAsia" w:ascii="宋体" w:hAnsi="宋体" w:cs="宋体"/>
          <w:sz w:val="24"/>
        </w:rPr>
        <w:t>安全高效除垢剂溶解后，用循环泵从进水口注入，从出水口返出，循环浸泡数小时左右。同时，不断检验水中药效，直到系统各处水垢全部清洗干净为止；</w:t>
      </w:r>
    </w:p>
    <w:p>
      <w:pPr>
        <w:widowControl/>
        <w:numPr>
          <w:ilvl w:val="0"/>
          <w:numId w:val="6"/>
        </w:numPr>
        <w:tabs>
          <w:tab w:val="left" w:pos="440"/>
        </w:tabs>
        <w:adjustRightInd w:val="0"/>
        <w:snapToGrid w:val="0"/>
        <w:spacing w:afterAutospacing="1" w:line="480" w:lineRule="auto"/>
        <w:ind w:left="0" w:firstLine="0"/>
        <w:rPr>
          <w:rFonts w:ascii="宋体" w:hAnsi="宋体" w:cs="宋体"/>
          <w:sz w:val="24"/>
        </w:rPr>
      </w:pPr>
      <w:r>
        <w:rPr>
          <w:rFonts w:hint="eastAsia" w:ascii="宋体" w:hAnsi="宋体" w:cs="宋体"/>
          <w:sz w:val="24"/>
        </w:rPr>
        <w:t>排出污水，用清水冲洗干净；</w:t>
      </w:r>
    </w:p>
    <w:p>
      <w:pPr>
        <w:widowControl/>
        <w:numPr>
          <w:ilvl w:val="0"/>
          <w:numId w:val="6"/>
        </w:numPr>
        <w:tabs>
          <w:tab w:val="left" w:pos="440"/>
        </w:tabs>
        <w:adjustRightInd w:val="0"/>
        <w:snapToGrid w:val="0"/>
        <w:spacing w:afterAutospacing="1" w:line="480" w:lineRule="auto"/>
        <w:ind w:left="502" w:hanging="501" w:hangingChars="209"/>
        <w:rPr>
          <w:rFonts w:ascii="宋体" w:hAnsi="宋体" w:cs="宋体"/>
          <w:sz w:val="24"/>
        </w:rPr>
      </w:pPr>
      <w:r>
        <w:rPr>
          <w:rFonts w:hint="eastAsia" w:ascii="宋体" w:hAnsi="宋体" w:cs="宋体"/>
          <w:sz w:val="24"/>
        </w:rPr>
        <w:t>根据客户要求，清洗结束后打开冷凝器端盖，检查是否清洗干净。要求除垢除污率达到95%以上，无腐蚀、无异物堵塞。</w:t>
      </w:r>
    </w:p>
    <w:p>
      <w:pPr>
        <w:widowControl/>
        <w:adjustRightInd w:val="0"/>
        <w:snapToGrid w:val="0"/>
        <w:spacing w:afterAutospacing="1" w:line="480" w:lineRule="auto"/>
        <w:ind w:left="-440" w:firstLine="501" w:firstLineChars="209"/>
        <w:rPr>
          <w:rFonts w:ascii="宋体" w:hAnsi="宋体" w:cs="宋体"/>
          <w:sz w:val="24"/>
        </w:rPr>
      </w:pPr>
      <w:r>
        <w:rPr>
          <w:rFonts w:hint="eastAsia" w:ascii="宋体" w:hAnsi="宋体" w:cs="宋体"/>
          <w:sz w:val="24"/>
          <w:lang w:val="en-US" w:eastAsia="zh-CN"/>
        </w:rPr>
        <w:t>2.</w:t>
      </w:r>
      <w:r>
        <w:rPr>
          <w:rFonts w:hint="eastAsia" w:ascii="宋体" w:hAnsi="宋体" w:cs="宋体"/>
          <w:sz w:val="24"/>
        </w:rPr>
        <w:t>预膜处理</w:t>
      </w:r>
    </w:p>
    <w:p>
      <w:pPr>
        <w:widowControl/>
        <w:numPr>
          <w:ilvl w:val="0"/>
          <w:numId w:val="6"/>
        </w:numPr>
        <w:tabs>
          <w:tab w:val="left" w:pos="440"/>
          <w:tab w:val="left" w:pos="1080"/>
        </w:tabs>
        <w:adjustRightInd w:val="0"/>
        <w:snapToGrid w:val="0"/>
        <w:spacing w:afterAutospacing="1" w:line="480" w:lineRule="auto"/>
        <w:ind w:left="502" w:hanging="501" w:hangingChars="209"/>
        <w:rPr>
          <w:rFonts w:ascii="宋体" w:hAnsi="宋体" w:cs="宋体"/>
          <w:sz w:val="24"/>
        </w:rPr>
      </w:pPr>
      <w:r>
        <w:rPr>
          <w:rFonts w:hint="eastAsia" w:ascii="宋体" w:hAnsi="宋体" w:cs="宋体"/>
          <w:sz w:val="24"/>
        </w:rPr>
        <w:t>将系统补满水加入预膜剂，开冷却系统循环泵，循环24小时，使其在清洗干净的系统管道内壁预制一层保护膜，起防止腐蚀和减缓结垢等保护作用；</w:t>
      </w:r>
    </w:p>
    <w:p>
      <w:pPr>
        <w:widowControl/>
        <w:numPr>
          <w:ilvl w:val="0"/>
          <w:numId w:val="6"/>
        </w:numPr>
        <w:tabs>
          <w:tab w:val="left" w:pos="440"/>
          <w:tab w:val="left" w:pos="1080"/>
        </w:tabs>
        <w:adjustRightInd w:val="0"/>
        <w:snapToGrid w:val="0"/>
        <w:spacing w:afterAutospacing="1" w:line="480" w:lineRule="auto"/>
        <w:ind w:left="0" w:firstLine="0"/>
        <w:rPr>
          <w:rFonts w:ascii="宋体" w:hAnsi="宋体" w:cs="宋体"/>
          <w:sz w:val="24"/>
        </w:rPr>
      </w:pPr>
      <w:r>
        <w:rPr>
          <w:rFonts w:hint="eastAsia" w:ascii="宋体" w:hAnsi="宋体" w:cs="宋体"/>
          <w:sz w:val="24"/>
        </w:rPr>
        <w:t>排出预膜液，即可运行使用。</w:t>
      </w:r>
    </w:p>
    <w:p>
      <w:pPr>
        <w:widowControl/>
        <w:numPr>
          <w:ilvl w:val="0"/>
          <w:numId w:val="6"/>
        </w:numPr>
        <w:tabs>
          <w:tab w:val="left" w:pos="440"/>
          <w:tab w:val="left" w:pos="1080"/>
        </w:tabs>
        <w:adjustRightInd w:val="0"/>
        <w:snapToGrid w:val="0"/>
        <w:spacing w:afterAutospacing="1" w:line="480" w:lineRule="auto"/>
        <w:ind w:left="0" w:firstLine="0"/>
        <w:rPr>
          <w:rFonts w:ascii="宋体" w:hAnsi="宋体" w:cs="宋体"/>
          <w:sz w:val="24"/>
        </w:rPr>
      </w:pPr>
      <w:r>
        <w:rPr>
          <w:rFonts w:hint="eastAsia" w:ascii="宋体" w:hAnsi="宋体" w:cs="宋体"/>
          <w:sz w:val="24"/>
        </w:rPr>
        <w:t>清洗预膜结束后，要求水样清澈、透明、无污垢、悬浮物。</w:t>
      </w:r>
    </w:p>
    <w:p>
      <w:pPr>
        <w:widowControl/>
        <w:tabs>
          <w:tab w:val="left" w:pos="0"/>
        </w:tabs>
        <w:adjustRightInd w:val="0"/>
        <w:snapToGrid w:val="0"/>
        <w:spacing w:afterAutospacing="1" w:line="480" w:lineRule="auto"/>
        <w:ind w:left="-440" w:firstLine="501" w:firstLineChars="209"/>
        <w:rPr>
          <w:rFonts w:ascii="宋体" w:hAnsi="宋体" w:cs="宋体"/>
          <w:kern w:val="0"/>
          <w:sz w:val="24"/>
        </w:rPr>
      </w:pPr>
      <w:r>
        <w:rPr>
          <w:rFonts w:hint="eastAsia" w:ascii="宋体" w:hAnsi="宋体" w:cs="宋体"/>
          <w:kern w:val="0"/>
          <w:sz w:val="24"/>
        </w:rPr>
        <w:t xml:space="preserve">清洗质量控制标准： </w:t>
      </w:r>
    </w:p>
    <w:p>
      <w:pPr>
        <w:widowControl/>
        <w:tabs>
          <w:tab w:val="left" w:pos="220"/>
          <w:tab w:val="left" w:pos="440"/>
        </w:tabs>
        <w:adjustRightInd w:val="0"/>
        <w:snapToGrid w:val="0"/>
        <w:spacing w:afterAutospacing="1" w:line="480" w:lineRule="auto"/>
        <w:rPr>
          <w:rFonts w:hint="eastAsia" w:ascii="宋体" w:hAnsi="宋体" w:cs="宋体"/>
          <w:sz w:val="24"/>
        </w:rPr>
        <w:sectPr>
          <w:footerReference r:id="rId14" w:type="default"/>
          <w:pgSz w:w="11906" w:h="16838"/>
          <w:pgMar w:top="1247" w:right="1418" w:bottom="993" w:left="1418" w:header="851" w:footer="992" w:gutter="0"/>
          <w:pgNumType w:fmt="decimal"/>
          <w:cols w:space="720" w:num="1"/>
          <w:docGrid w:linePitch="312" w:charSpace="0"/>
        </w:sectPr>
      </w:pPr>
    </w:p>
    <w:p>
      <w:pPr>
        <w:widowControl/>
        <w:tabs>
          <w:tab w:val="left" w:pos="220"/>
          <w:tab w:val="left" w:pos="440"/>
        </w:tabs>
        <w:adjustRightInd w:val="0"/>
        <w:snapToGrid w:val="0"/>
        <w:spacing w:afterAutospacing="1" w:line="480" w:lineRule="auto"/>
        <w:rPr>
          <w:rFonts w:ascii="宋体" w:hAnsi="宋体" w:cs="宋体"/>
          <w:sz w:val="24"/>
        </w:rPr>
      </w:pPr>
      <w:r>
        <w:rPr>
          <w:rFonts w:hint="eastAsia" w:ascii="宋体" w:hAnsi="宋体" w:cs="宋体"/>
          <w:sz w:val="24"/>
        </w:rPr>
        <w:t>清洗质量符合《工业设备清洗质量标准》—HG/T2387-04，我公司要求质量高于该标准。  《工业设备清洗质量标准》—HG/T2387-04除垢率及洗净率指标</w:t>
      </w:r>
    </w:p>
    <w:p>
      <w:pPr>
        <w:numPr>
          <w:ilvl w:val="0"/>
          <w:numId w:val="0"/>
        </w:numPr>
        <w:adjustRightInd w:val="0"/>
        <w:snapToGrid w:val="0"/>
        <w:spacing w:line="480" w:lineRule="auto"/>
        <w:ind w:leftChars="0"/>
        <w:jc w:val="left"/>
        <w:outlineLvl w:val="1"/>
        <w:rPr>
          <w:rFonts w:ascii="宋体" w:hAnsi="宋体" w:cs="宋体"/>
          <w:sz w:val="24"/>
        </w:rPr>
      </w:pPr>
      <w:r>
        <w:rPr>
          <w:rFonts w:hint="eastAsia" w:ascii="宋体" w:hAnsi="宋体" w:cs="宋体"/>
          <w:sz w:val="24"/>
        </w:rPr>
        <w:t xml:space="preserve"> </w:t>
      </w:r>
      <w:bookmarkStart w:id="11" w:name="_Toc17504"/>
      <w:r>
        <w:rPr>
          <w:rFonts w:hint="eastAsia" w:ascii="宋体" w:hAnsi="宋体" w:cs="宋体"/>
          <w:sz w:val="24"/>
          <w:lang w:val="en-US" w:eastAsia="zh-CN"/>
        </w:rPr>
        <w:t>3.</w:t>
      </w:r>
      <w:r>
        <w:rPr>
          <w:rFonts w:hint="eastAsia" w:ascii="宋体" w:hAnsi="宋体" w:cs="宋体"/>
          <w:sz w:val="24"/>
        </w:rPr>
        <w:t>各安全保护装置的检查校正</w:t>
      </w:r>
      <w:bookmarkEnd w:id="11"/>
    </w:p>
    <w:p>
      <w:pPr>
        <w:spacing w:line="480" w:lineRule="auto"/>
        <w:rPr>
          <w:rFonts w:ascii="宋体" w:hAnsi="宋体" w:cs="宋体"/>
          <w:sz w:val="24"/>
        </w:rPr>
      </w:pPr>
      <w:r>
        <w:rPr>
          <w:rFonts w:hint="eastAsia" w:ascii="宋体" w:hAnsi="宋体" w:cs="宋体"/>
          <w:sz w:val="24"/>
        </w:rPr>
        <w:t xml:space="preserve"> 1） 冷温水靶流保护、低温保护装置检测：冷温水温度保护装置、冷却水靶流保护装置检测。检测靶流开关动作是否灵活，断水实验是否报警。低温情况下低温传感器是否报警；</w:t>
      </w:r>
    </w:p>
    <w:p>
      <w:pPr>
        <w:spacing w:line="480" w:lineRule="auto"/>
        <w:ind w:firstLine="240" w:firstLineChars="100"/>
        <w:rPr>
          <w:rFonts w:ascii="宋体" w:hAnsi="宋体" w:cs="宋体"/>
          <w:sz w:val="24"/>
        </w:rPr>
      </w:pPr>
      <w:r>
        <w:rPr>
          <w:rFonts w:hint="eastAsia" w:ascii="宋体" w:hAnsi="宋体" w:cs="宋体"/>
          <w:sz w:val="24"/>
        </w:rPr>
        <w:t>2 ）高发超温保护装置检测：检测高发温度探头是否失灵，显示温度是否准确。接线是否牢固。根据检测结果决定是否更换温度探头。</w:t>
      </w:r>
    </w:p>
    <w:p>
      <w:pPr>
        <w:spacing w:line="480" w:lineRule="auto"/>
        <w:ind w:firstLine="240" w:firstLineChars="100"/>
        <w:rPr>
          <w:rFonts w:ascii="宋体" w:hAnsi="宋体" w:cs="宋体"/>
          <w:sz w:val="24"/>
        </w:rPr>
      </w:pPr>
      <w:r>
        <w:rPr>
          <w:rFonts w:hint="eastAsia" w:ascii="宋体" w:hAnsi="宋体" w:cs="宋体"/>
          <w:sz w:val="24"/>
        </w:rPr>
        <w:t>3） 高发压力控制器检测：检测高发安全阀片是否正常。决定是否更换膜片；</w:t>
      </w:r>
    </w:p>
    <w:p>
      <w:pPr>
        <w:spacing w:line="480" w:lineRule="auto"/>
        <w:ind w:firstLine="240" w:firstLineChars="100"/>
        <w:rPr>
          <w:rFonts w:ascii="宋体" w:hAnsi="宋体" w:cs="宋体"/>
          <w:sz w:val="24"/>
        </w:rPr>
      </w:pPr>
      <w:r>
        <w:rPr>
          <w:rFonts w:hint="eastAsia" w:ascii="宋体" w:hAnsi="宋体" w:cs="宋体"/>
          <w:sz w:val="24"/>
        </w:rPr>
        <w:t>4） 高发液位、冷剂液位保护：检测液位探头，确保线头连接牢固，传感液位信号准确；</w:t>
      </w:r>
    </w:p>
    <w:p>
      <w:pPr>
        <w:spacing w:line="480" w:lineRule="auto"/>
        <w:ind w:firstLine="240" w:firstLineChars="100"/>
        <w:rPr>
          <w:rFonts w:ascii="宋体" w:hAnsi="宋体" w:cs="宋体"/>
          <w:sz w:val="24"/>
        </w:rPr>
      </w:pPr>
      <w:r>
        <w:rPr>
          <w:rFonts w:hint="eastAsia" w:ascii="宋体" w:hAnsi="宋体" w:cs="宋体"/>
          <w:sz w:val="24"/>
        </w:rPr>
        <w:t>5 ）屏蔽泵绝缘检测：检测屏蔽泵接线，绝缘是否良好，运行温度温度是否正常。</w:t>
      </w:r>
    </w:p>
    <w:p>
      <w:pPr>
        <w:widowControl/>
        <w:numPr>
          <w:ilvl w:val="0"/>
          <w:numId w:val="0"/>
        </w:numPr>
        <w:tabs>
          <w:tab w:val="left" w:pos="220"/>
          <w:tab w:val="left" w:pos="440"/>
        </w:tabs>
        <w:adjustRightInd w:val="0"/>
        <w:snapToGrid w:val="0"/>
        <w:spacing w:afterAutospacing="1" w:line="480" w:lineRule="auto"/>
        <w:ind w:leftChars="0"/>
        <w:outlineLvl w:val="1"/>
        <w:rPr>
          <w:rFonts w:ascii="宋体" w:hAnsi="宋体" w:cs="宋体"/>
          <w:sz w:val="24"/>
        </w:rPr>
      </w:pPr>
      <w:bookmarkStart w:id="12" w:name="_Toc8094"/>
      <w:r>
        <w:rPr>
          <w:rFonts w:hint="eastAsia" w:ascii="宋体" w:hAnsi="宋体" w:cs="宋体"/>
          <w:sz w:val="24"/>
          <w:lang w:val="en-US" w:eastAsia="zh-CN"/>
        </w:rPr>
        <w:t xml:space="preserve"> 4.</w:t>
      </w:r>
      <w:r>
        <w:rPr>
          <w:rFonts w:hint="eastAsia" w:ascii="宋体" w:hAnsi="宋体" w:cs="宋体"/>
          <w:sz w:val="24"/>
        </w:rPr>
        <w:t>电气控制系统的检查和维护</w:t>
      </w:r>
      <w:bookmarkEnd w:id="12"/>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1）检查电气控制箱内电器元件，必要时建议更换。</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2）调整检查控制设定值。</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3）蒸气容量阀控制检查.</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4）溶液泵及冷剂泵运行压力电流、噪音检查。</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5）液位控制开关之检查，必要时校正冷剂水量。</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6）控制系统模拟测试。</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7）开机运行调校机组。</w:t>
      </w:r>
    </w:p>
    <w:p>
      <w:pPr>
        <w:adjustRightInd w:val="0"/>
        <w:snapToGrid w:val="0"/>
        <w:spacing w:line="480" w:lineRule="auto"/>
        <w:ind w:firstLine="480" w:firstLineChars="200"/>
        <w:jc w:val="left"/>
        <w:rPr>
          <w:rFonts w:ascii="宋体" w:hAnsi="宋体" w:cs="宋体"/>
          <w:color w:val="000000"/>
          <w:sz w:val="24"/>
        </w:rPr>
      </w:pPr>
      <w:r>
        <w:rPr>
          <w:rFonts w:hint="eastAsia" w:ascii="宋体" w:hAnsi="宋体" w:cs="宋体"/>
          <w:sz w:val="24"/>
        </w:rPr>
        <w:t>8）填写运行记录与验收报告。</w:t>
      </w:r>
    </w:p>
    <w:p>
      <w:pPr>
        <w:widowControl/>
        <w:adjustRightInd w:val="0"/>
        <w:snapToGrid w:val="0"/>
        <w:spacing w:line="480" w:lineRule="auto"/>
        <w:rPr>
          <w:rFonts w:hint="eastAsia" w:ascii="宋体" w:hAnsi="宋体" w:cs="宋体"/>
          <w:sz w:val="24"/>
        </w:rPr>
      </w:pPr>
    </w:p>
    <w:p>
      <w:pPr>
        <w:widowControl/>
        <w:adjustRightInd w:val="0"/>
        <w:snapToGrid w:val="0"/>
        <w:spacing w:line="480" w:lineRule="auto"/>
        <w:ind w:left="-399" w:leftChars="-190" w:firstLine="456" w:firstLineChars="190"/>
        <w:rPr>
          <w:rFonts w:hint="eastAsia" w:ascii="宋体" w:hAnsi="宋体" w:cs="宋体"/>
          <w:sz w:val="24"/>
          <w:lang w:val="en-US" w:eastAsia="zh-CN"/>
        </w:rPr>
        <w:sectPr>
          <w:footerReference r:id="rId15" w:type="default"/>
          <w:pgSz w:w="11906" w:h="16838"/>
          <w:pgMar w:top="1247" w:right="1418" w:bottom="993" w:left="1418" w:header="851" w:footer="992" w:gutter="0"/>
          <w:pgNumType w:fmt="decimal"/>
          <w:cols w:space="720" w:num="1"/>
          <w:docGrid w:linePitch="312" w:charSpace="0"/>
        </w:sectPr>
      </w:pPr>
    </w:p>
    <w:p>
      <w:pPr>
        <w:widowControl/>
        <w:adjustRightInd w:val="0"/>
        <w:snapToGrid w:val="0"/>
        <w:spacing w:line="480" w:lineRule="auto"/>
        <w:ind w:left="-399" w:leftChars="-190" w:firstLine="456" w:firstLineChars="190"/>
        <w:rPr>
          <w:rFonts w:ascii="宋体" w:hAnsi="宋体" w:cs="宋体"/>
          <w:sz w:val="24"/>
        </w:rPr>
      </w:pPr>
      <w:r>
        <w:rPr>
          <w:rFonts w:hint="eastAsia" w:ascii="宋体" w:hAnsi="宋体" w:cs="宋体"/>
          <w:sz w:val="24"/>
          <w:lang w:val="en-US" w:eastAsia="zh-CN"/>
        </w:rPr>
        <w:t>5.</w:t>
      </w:r>
      <w:r>
        <w:rPr>
          <w:rFonts w:hint="eastAsia" w:ascii="宋体" w:hAnsi="宋体" w:cs="宋体"/>
          <w:sz w:val="24"/>
        </w:rPr>
        <w:t>制冷机检修工作完成后,在设备非故障状态下,保证机组运行制冷温差能够达到7℃以上。</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6.</w:t>
      </w:r>
      <w:r>
        <w:rPr>
          <w:rFonts w:hint="eastAsia" w:ascii="宋体" w:hAnsi="宋体" w:cs="宋体"/>
          <w:sz w:val="24"/>
        </w:rPr>
        <w:t>乙方检修工作在完成每一道工序时,需要通知甲方人员进行验收特别是带有隐蔽性的检修工作,否则,乙方需要返工。</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7.</w:t>
      </w:r>
      <w:r>
        <w:rPr>
          <w:rFonts w:hint="eastAsia" w:ascii="宋体" w:hAnsi="宋体" w:cs="宋体"/>
          <w:sz w:val="24"/>
        </w:rPr>
        <w:t>乙方必须对提供的产品和服务必须具备质量合格、安全可靠等特性,在质量保证期内出现质量问题乙方负责免费维修、更换和赔偿经济损失。</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直燃</w:t>
      </w:r>
      <w:r>
        <w:rPr>
          <w:rFonts w:hint="eastAsia" w:ascii="宋体" w:hAnsi="宋体" w:cs="宋体"/>
          <w:sz w:val="24"/>
        </w:rPr>
        <w:t>机组在维护检修开机后,机组在使用过程中安全稳定的运行,在制冷机组运行过程中出现异常情况,乙方检修人员4小时内到现场进行解决问题。</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9.</w:t>
      </w:r>
      <w:r>
        <w:rPr>
          <w:rFonts w:hint="eastAsia" w:ascii="宋体" w:hAnsi="宋体" w:cs="宋体"/>
          <w:sz w:val="24"/>
          <w:lang w:eastAsia="zh-CN"/>
        </w:rPr>
        <w:t>直燃</w:t>
      </w:r>
      <w:r>
        <w:rPr>
          <w:rFonts w:hint="eastAsia" w:ascii="宋体" w:hAnsi="宋体" w:cs="宋体"/>
          <w:sz w:val="24"/>
        </w:rPr>
        <w:t>机检修工作工期</w:t>
      </w:r>
      <w:r>
        <w:rPr>
          <w:rFonts w:hint="eastAsia" w:ascii="宋体" w:hAnsi="宋体" w:cs="宋体"/>
          <w:sz w:val="24"/>
          <w:lang w:val="en-US" w:eastAsia="zh-CN"/>
        </w:rPr>
        <w:t>3</w:t>
      </w:r>
      <w:r>
        <w:rPr>
          <w:rFonts w:hint="eastAsia" w:ascii="宋体" w:hAnsi="宋体" w:cs="宋体"/>
          <w:sz w:val="24"/>
        </w:rPr>
        <w:t>0天。</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10.</w:t>
      </w:r>
      <w:r>
        <w:rPr>
          <w:rFonts w:hint="eastAsia" w:ascii="宋体" w:hAnsi="宋体" w:cs="宋体"/>
          <w:sz w:val="24"/>
        </w:rPr>
        <w:t>检修工作</w:t>
      </w:r>
      <w:r>
        <w:rPr>
          <w:rFonts w:hint="eastAsia" w:ascii="宋体" w:hAnsi="宋体" w:cs="宋体"/>
          <w:sz w:val="24"/>
          <w:lang w:eastAsia="zh-CN"/>
        </w:rPr>
        <w:t>质保</w:t>
      </w:r>
      <w:r>
        <w:rPr>
          <w:rFonts w:hint="eastAsia" w:ascii="宋体" w:hAnsi="宋体" w:cs="宋体"/>
          <w:sz w:val="24"/>
          <w:lang w:val="en-US" w:eastAsia="zh-CN"/>
        </w:rPr>
        <w:t>2</w:t>
      </w:r>
      <w:r>
        <w:rPr>
          <w:rFonts w:hint="eastAsia" w:ascii="宋体" w:hAnsi="宋体" w:cs="宋体"/>
          <w:sz w:val="24"/>
        </w:rPr>
        <w:t>年,质量保证期从检修投用后实际日期开始起计算。</w:t>
      </w:r>
    </w:p>
    <w:p>
      <w:pPr>
        <w:widowControl/>
        <w:adjustRightInd w:val="0"/>
        <w:snapToGrid w:val="0"/>
        <w:spacing w:line="480" w:lineRule="auto"/>
        <w:ind w:right="-50" w:rightChars="-24"/>
        <w:rPr>
          <w:rFonts w:ascii="宋体" w:hAnsi="宋体" w:cs="宋体"/>
          <w:sz w:val="24"/>
        </w:rPr>
      </w:pPr>
      <w:r>
        <w:rPr>
          <w:rFonts w:hint="eastAsia" w:ascii="宋体" w:hAnsi="宋体" w:cs="宋体"/>
          <w:sz w:val="24"/>
          <w:lang w:val="en-US" w:eastAsia="zh-CN"/>
        </w:rPr>
        <w:t>11.</w:t>
      </w:r>
      <w:r>
        <w:rPr>
          <w:rFonts w:hint="eastAsia" w:ascii="宋体" w:hAnsi="宋体" w:cs="宋体"/>
          <w:sz w:val="24"/>
        </w:rPr>
        <w:t>施工必须做到安全无事故,必须遵循国家GB/T9001-2000质量管理体系GB/T28001-2001职业健康安全管理体系、GB/T24001-2004环境管理体系及宣钢有关职业健康安全和环境管理的规定和制度,做到文明施工。开工前与甲方签订安全协议,对作业人员进行现场安全教育。</w:t>
      </w:r>
    </w:p>
    <w:p>
      <w:pPr>
        <w:widowControl/>
        <w:adjustRightInd w:val="0"/>
        <w:snapToGrid w:val="0"/>
        <w:spacing w:line="480" w:lineRule="auto"/>
        <w:ind w:right="-50" w:rightChars="-24"/>
        <w:rPr>
          <w:rFonts w:hint="eastAsia" w:ascii="宋体" w:hAnsi="宋体" w:eastAsia="宋体" w:cs="宋体"/>
          <w:sz w:val="24"/>
          <w:lang w:eastAsia="zh-CN"/>
        </w:rPr>
      </w:pPr>
      <w:r>
        <w:rPr>
          <w:rFonts w:hint="eastAsia" w:ascii="宋体" w:hAnsi="宋体" w:cs="宋体"/>
          <w:sz w:val="24"/>
          <w:lang w:val="en-US" w:eastAsia="zh-CN"/>
        </w:rPr>
        <w:t>12.</w:t>
      </w:r>
      <w:r>
        <w:rPr>
          <w:rFonts w:hint="eastAsia" w:ascii="宋体" w:hAnsi="宋体" w:cs="宋体"/>
          <w:sz w:val="24"/>
        </w:rPr>
        <w:t>工程施工过程中要服从现场管理的要求,保持现场的整洁卫生</w:t>
      </w:r>
      <w:r>
        <w:rPr>
          <w:rFonts w:hint="eastAsia" w:ascii="宋体" w:hAnsi="宋体" w:cs="宋体"/>
          <w:sz w:val="24"/>
          <w:lang w:eastAsia="zh-CN"/>
        </w:rPr>
        <w:t>。</w:t>
      </w:r>
    </w:p>
    <w:p>
      <w:pPr>
        <w:snapToGrid w:val="0"/>
        <w:spacing w:beforeLines="50" w:line="480" w:lineRule="auto"/>
        <w:jc w:val="left"/>
        <w:rPr>
          <w:rFonts w:hint="eastAsia" w:ascii="宋体" w:hAnsi="宋体" w:cs="宋体"/>
          <w:sz w:val="24"/>
        </w:rPr>
      </w:pPr>
      <w:r>
        <w:rPr>
          <w:rFonts w:hint="eastAsia" w:ascii="宋体" w:hAnsi="宋体" w:cs="宋体"/>
          <w:sz w:val="24"/>
          <w:lang w:val="en-US" w:eastAsia="zh-CN"/>
        </w:rPr>
        <w:t>13.</w:t>
      </w:r>
      <w:r>
        <w:rPr>
          <w:rFonts w:hint="eastAsia" w:ascii="宋体" w:hAnsi="宋体" w:cs="宋体"/>
          <w:sz w:val="24"/>
        </w:rPr>
        <w:t>项目施工全过程不能污染环境(即不能污染厂区道路、绿地等),并严格遵守《</w:t>
      </w:r>
      <w:r>
        <w:rPr>
          <w:rFonts w:hint="eastAsia" w:ascii="宋体" w:hAnsi="宋体" w:cs="宋体"/>
          <w:sz w:val="24"/>
          <w:lang w:eastAsia="zh-CN"/>
        </w:rPr>
        <w:t>北京市</w:t>
      </w:r>
      <w:r>
        <w:rPr>
          <w:rFonts w:hint="eastAsia" w:ascii="宋体" w:hAnsi="宋体" w:cs="宋体"/>
          <w:sz w:val="24"/>
        </w:rPr>
        <w:t>安全/环境管理办法》的有关管理规定,对施工人员进行环保宣传教育,做好防护措施,达到预防环境污染的目的。</w:t>
      </w:r>
    </w:p>
    <w:p>
      <w:pPr>
        <w:adjustRightInd w:val="0"/>
        <w:snapToGrid w:val="0"/>
        <w:spacing w:line="336" w:lineRule="auto"/>
        <w:jc w:val="left"/>
        <w:rPr>
          <w:rFonts w:hint="eastAsia" w:ascii="宋体" w:hAnsi="宋体" w:cs="宋体"/>
          <w:b/>
          <w:sz w:val="24"/>
          <w:lang w:eastAsia="zh-CN"/>
        </w:rPr>
      </w:pPr>
      <w:r>
        <w:rPr>
          <w:rFonts w:hint="eastAsia" w:ascii="宋体" w:hAnsi="宋体" w:cs="宋体"/>
          <w:b/>
          <w:sz w:val="24"/>
          <w:lang w:eastAsia="zh-CN"/>
        </w:rPr>
        <w:t>三</w:t>
      </w:r>
      <w:r>
        <w:rPr>
          <w:rFonts w:hint="eastAsia" w:ascii="宋体" w:hAnsi="宋体" w:eastAsia="宋体" w:cs="宋体"/>
          <w:b/>
          <w:sz w:val="24"/>
        </w:rPr>
        <w:t>．</w:t>
      </w:r>
      <w:r>
        <w:rPr>
          <w:rFonts w:hint="eastAsia" w:ascii="宋体" w:hAnsi="宋体" w:cs="宋体"/>
          <w:b/>
          <w:sz w:val="24"/>
          <w:lang w:eastAsia="zh-CN"/>
        </w:rPr>
        <w:t>溶液</w:t>
      </w:r>
      <w:r>
        <w:rPr>
          <w:rFonts w:hint="eastAsia" w:ascii="宋体" w:hAnsi="宋体" w:eastAsia="宋体" w:cs="宋体"/>
          <w:b/>
          <w:sz w:val="24"/>
        </w:rPr>
        <w:t>再生</w:t>
      </w:r>
      <w:r>
        <w:rPr>
          <w:rFonts w:hint="eastAsia" w:ascii="宋体" w:hAnsi="宋体" w:cs="宋体"/>
          <w:b/>
          <w:sz w:val="24"/>
          <w:lang w:eastAsia="zh-CN"/>
        </w:rPr>
        <w:t>方案</w:t>
      </w:r>
    </w:p>
    <w:p>
      <w:pPr>
        <w:widowControl/>
        <w:adjustRightInd w:val="0"/>
        <w:snapToGrid w:val="0"/>
        <w:spacing w:line="480" w:lineRule="auto"/>
        <w:ind w:right="-50" w:rightChars="-24"/>
        <w:rPr>
          <w:rFonts w:hint="eastAsia" w:ascii="宋体" w:hAnsi="宋体" w:eastAsia="宋体" w:cs="宋体"/>
          <w:sz w:val="24"/>
          <w:lang w:val="en-US" w:eastAsia="zh-CN"/>
        </w:rPr>
        <w:sectPr>
          <w:footerReference r:id="rId16" w:type="default"/>
          <w:pgSz w:w="11906" w:h="16838"/>
          <w:pgMar w:top="1247" w:right="1418" w:bottom="993" w:left="1418" w:header="851" w:footer="992" w:gutter="0"/>
          <w:pgNumType w:fmt="decimal"/>
          <w:cols w:space="720" w:num="1"/>
          <w:docGrid w:linePitch="312" w:charSpace="0"/>
        </w:sectPr>
      </w:pPr>
      <w:r>
        <w:rPr>
          <w:rFonts w:hint="eastAsia" w:ascii="宋体" w:hAnsi="宋体" w:eastAsia="宋体" w:cs="宋体"/>
          <w:sz w:val="24"/>
          <w:lang w:val="en-US" w:eastAsia="zh-CN"/>
        </w:rPr>
        <w:t>1.溴化锂溶液是机组的“血液”，经过长期的运行都会发生不同程度的变化。如：颜色由原来的淡黄色变为暗黄、红、白、黑等不正常颜色。溶液的浓度因腐蚀产物而降低，溶液的PH值变成强碱性或者偏酸性，溶液中的缓蚀剂失效，以及各种杂质离子的增加，这都将导致机组的正常制冷能力不能充分发挥，以及机组本身的腐蚀加剧。这时须对该</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 xml:space="preserve">溴化锂溶液进行再生处理。溴化锂溶液再生时，针对各项指标的变化情况，在密封反应器中添加各种试剂，在高温及有压力的情况下将杂质除去，使溶液指标达到符合化工部行业标准HG/T2822—1996中所规定的范围。溶液再生后，将会具有与新溶液同样的制冷效果和缓蚀效果。这种再生办法只能在溶液厂家里进行。 </w:t>
      </w:r>
      <w:r>
        <w:rPr>
          <w:rFonts w:hint="eastAsia" w:ascii="宋体" w:hAnsi="宋体" w:eastAsia="宋体" w:cs="宋体"/>
          <w:sz w:val="24"/>
          <w:lang w:val="en-US" w:eastAsia="zh-CN"/>
        </w:rPr>
        <w:br w:type="textWrapping"/>
      </w:r>
      <w:r>
        <w:rPr>
          <w:rFonts w:hint="eastAsia" w:ascii="宋体" w:hAnsi="宋体" w:eastAsia="宋体" w:cs="宋体"/>
          <w:sz w:val="24"/>
          <w:lang w:val="en-US" w:eastAsia="zh-CN"/>
        </w:rPr>
        <w:t xml:space="preserve">溴化锂溶液使用年限不长的机组，平时可采用添加铬酸锂等防护剂。 </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2.新添溶液标准</w:t>
      </w:r>
      <w:r>
        <w:rPr>
          <w:rFonts w:hint="eastAsia" w:ascii="宋体" w:hAnsi="宋体" w:cs="宋体"/>
          <w:sz w:val="24"/>
          <w:lang w:val="en-US" w:eastAsia="zh-CN"/>
        </w:rPr>
        <w:t>：</w:t>
      </w:r>
      <w:r>
        <w:rPr>
          <w:rFonts w:hint="eastAsia" w:ascii="宋体" w:hAnsi="宋体" w:eastAsia="宋体" w:cs="宋体"/>
          <w:sz w:val="24"/>
          <w:lang w:val="en-US" w:eastAsia="zh-CN"/>
        </w:rPr>
        <w:t>由于在溶液回厂再生时，对溶液有一定比例的损耗，根据损耗情况，购买新的溶液补充在溶液中，以保障机组正常，新购买的溶液所有指标含量都必须符合以下标准：</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 xml:space="preserve">           溴化锂溶液各项指标国家行业标准值</w:t>
      </w:r>
    </w:p>
    <w:tbl>
      <w:tblPr>
        <w:tblStyle w:val="13"/>
        <w:tblW w:w="0" w:type="auto"/>
        <w:jc w:val="center"/>
        <w:tblLayout w:type="fixed"/>
        <w:tblCellMar>
          <w:top w:w="0" w:type="dxa"/>
          <w:left w:w="0" w:type="dxa"/>
          <w:bottom w:w="0" w:type="dxa"/>
          <w:right w:w="0" w:type="dxa"/>
        </w:tblCellMar>
      </w:tblPr>
      <w:tblGrid>
        <w:gridCol w:w="2924"/>
        <w:gridCol w:w="3041"/>
      </w:tblGrid>
      <w:tr>
        <w:tblPrEx>
          <w:tblCellMar>
            <w:top w:w="0" w:type="dxa"/>
            <w:left w:w="0" w:type="dxa"/>
            <w:bottom w:w="0" w:type="dxa"/>
            <w:right w:w="0" w:type="dxa"/>
          </w:tblCellMar>
        </w:tblPrEx>
        <w:trPr>
          <w:trHeight w:val="450"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测定项目</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化工部行业标准</w:t>
            </w:r>
          </w:p>
        </w:tc>
      </w:tr>
      <w:tr>
        <w:tblPrEx>
          <w:tblCellMar>
            <w:top w:w="0" w:type="dxa"/>
            <w:left w:w="0" w:type="dxa"/>
            <w:bottom w:w="0" w:type="dxa"/>
            <w:right w:w="0" w:type="dxa"/>
          </w:tblCellMar>
        </w:tblPrEx>
        <w:trPr>
          <w:trHeight w:val="338"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溴化理(LiBr)</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≥50.0%</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PH值</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9.0~10.5</w:t>
            </w:r>
          </w:p>
        </w:tc>
      </w:tr>
      <w:tr>
        <w:tblPrEx>
          <w:tblCellMar>
            <w:top w:w="0" w:type="dxa"/>
            <w:left w:w="0" w:type="dxa"/>
            <w:bottom w:w="0" w:type="dxa"/>
            <w:right w:w="0" w:type="dxa"/>
          </w:tblCellMar>
        </w:tblPrEx>
        <w:trPr>
          <w:trHeight w:val="346"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铬酸锂(Li2MoO4)</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 xml:space="preserve">   0.20~0.30%</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辛醇</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0.10~0.30%</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氯化物(以CL-计)</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≤0.25%</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硫酸盐(SO42-计)</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≤0.04%</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溴酸盐(以BrO4-计)</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≤0.005%</w:t>
            </w:r>
          </w:p>
        </w:tc>
      </w:tr>
      <w:tr>
        <w:tblPrEx>
          <w:tblCellMar>
            <w:top w:w="0" w:type="dxa"/>
            <w:left w:w="0" w:type="dxa"/>
            <w:bottom w:w="0" w:type="dxa"/>
            <w:right w:w="0" w:type="dxa"/>
          </w:tblCellMar>
        </w:tblPrEx>
        <w:trPr>
          <w:trHeight w:val="338"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铵盐(以NH4+计)</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≤0.001%</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钾(K+)、钠(Na+)总量</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≤0.05%</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钙(Ca2+)</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≤0.005%</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镁(Mg2+)</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≤0.001%</w:t>
            </w:r>
          </w:p>
        </w:tc>
      </w:tr>
      <w:tr>
        <w:tblPrEx>
          <w:tblCellMar>
            <w:top w:w="0" w:type="dxa"/>
            <w:left w:w="0" w:type="dxa"/>
            <w:bottom w:w="0" w:type="dxa"/>
            <w:right w:w="0" w:type="dxa"/>
          </w:tblCellMar>
        </w:tblPrEx>
        <w:trPr>
          <w:trHeight w:val="339" w:hRule="atLeast"/>
          <w:jc w:val="center"/>
        </w:trPr>
        <w:tc>
          <w:tcPr>
            <w:tcW w:w="2924"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铁(Fe3+)</w:t>
            </w:r>
          </w:p>
        </w:tc>
        <w:tc>
          <w:tcPr>
            <w:tcW w:w="3041"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≤0.001%</w:t>
            </w:r>
          </w:p>
        </w:tc>
      </w:tr>
    </w:tbl>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widowControl/>
        <w:adjustRightInd w:val="0"/>
        <w:snapToGrid w:val="0"/>
        <w:spacing w:line="480" w:lineRule="auto"/>
        <w:ind w:right="-50" w:rightChars="-24"/>
        <w:rPr>
          <w:rFonts w:hint="eastAsia" w:ascii="宋体" w:hAnsi="宋体" w:eastAsia="宋体" w:cs="宋体"/>
          <w:b/>
          <w:bCs/>
          <w:sz w:val="24"/>
          <w:lang w:val="en-US" w:eastAsia="zh-CN"/>
        </w:rPr>
      </w:pPr>
      <w:r>
        <w:rPr>
          <w:rFonts w:hint="eastAsia" w:ascii="宋体" w:hAnsi="宋体" w:cs="宋体"/>
          <w:b/>
          <w:bCs/>
          <w:sz w:val="24"/>
          <w:lang w:val="en-US" w:eastAsia="zh-CN"/>
        </w:rPr>
        <w:t>四、</w:t>
      </w:r>
      <w:r>
        <w:rPr>
          <w:rFonts w:hint="eastAsia" w:ascii="宋体" w:hAnsi="宋体" w:eastAsia="宋体" w:cs="宋体"/>
          <w:b/>
          <w:bCs/>
          <w:sz w:val="24"/>
          <w:lang w:val="en-US" w:eastAsia="zh-CN"/>
        </w:rPr>
        <w:t>检漏补漏方案</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真空度不好，是影响机组制冷效果最重要的原因之一，溴化锂制冷机制冷量的大小，制冷机使用寿命的长短，溴化锂溶液质量的变化，主机内部金属材料的腐蚀快慢等，无不与制冷机的真空度有密切关系，因此，保持制冷机的真空度相当重要，机组维修和机组溶液再生处理后，必须要进行检漏确保机组的密封性。</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整体机组检漏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给机组充入氮气0.8KG以上压力。</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机组溶液泵检漏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使用肥皂水对机组溶液泵密封处进行检漏。查看溶液泵的O型密封处是否有漏点。</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机组隔膜阀处检漏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长时间使用，隔膜阀片存在老火现象，密封质量下降。</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机组各取样阀处检漏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长时间使用溶液取样阀，有如果阀口处密封垫磨损后，密封不严。需要检查。</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机组观察视镜检漏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检查视镜周围有无腐蚀致使泄露现象。</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正压保压</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检查漏并处理漏点后，充到机组正压到0.9KG或720毫米汞柱记录压力观察，24小时后压力无变化即为保压正常。</w:t>
      </w:r>
    </w:p>
    <w:p>
      <w:pPr>
        <w:widowControl/>
        <w:adjustRightInd w:val="0"/>
        <w:snapToGrid w:val="0"/>
        <w:spacing w:line="480" w:lineRule="auto"/>
        <w:ind w:right="-50" w:rightChars="-24"/>
        <w:rPr>
          <w:rFonts w:hint="eastAsia" w:ascii="宋体" w:hAnsi="宋体" w:eastAsia="宋体" w:cs="宋体"/>
          <w:sz w:val="24"/>
          <w:lang w:val="en-US" w:eastAsia="zh-CN"/>
        </w:rPr>
        <w:sectPr>
          <w:footerReference r:id="rId17" w:type="default"/>
          <w:pgSz w:w="11906" w:h="16838"/>
          <w:pgMar w:top="1247" w:right="1418" w:bottom="993" w:left="1418" w:header="851" w:footer="992" w:gutter="0"/>
          <w:pgNumType w:fmt="decimal"/>
          <w:cols w:space="720" w:num="1"/>
          <w:docGrid w:linePitch="312" w:charSpace="0"/>
        </w:sectPr>
      </w:pP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抽真空</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正压保压正常后，把机组氮气放净，给机组抽真空。</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负压保压</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真空抽到720毫米汞柱后，记录压力观察，24小时后压力无变化即为保压正常。</w:t>
      </w:r>
    </w:p>
    <w:p>
      <w:pPr>
        <w:pStyle w:val="2"/>
        <w:rPr>
          <w:rFonts w:hint="eastAsia"/>
          <w:b/>
          <w:bCs/>
          <w:lang w:val="en-US" w:eastAsia="zh-CN"/>
        </w:rPr>
      </w:pPr>
      <w:r>
        <w:rPr>
          <w:rFonts w:hint="eastAsia" w:hAnsi="宋体" w:cs="宋体"/>
          <w:b/>
          <w:bCs/>
          <w:sz w:val="24"/>
          <w:lang w:val="en-US" w:eastAsia="zh-CN"/>
        </w:rPr>
        <w:t>五、机组调试</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 xml:space="preserve">1、开机调试前的检查事项  </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检查溴冷机、水泵的供电电源是否否正常（电压在（380±10%）v内）。</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检查蒸汽压力是否正常。</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冷却水泵、冷冻水泵轴封、润滑情况良好，转动部分轻便灵活。</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冷却塔风机润滑良好，启动运转正常。</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2、空调系统设备的启动</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开启待开溴冷机的冷冻水、冷却水阀门（其余冷水机组的冷冻水，冷却水阀门保持关闭）。</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冷却水泵、冷冻水泵正常运转数分钟后，方可启动溴冷机，使管道内的水温充分平衡均匀，以利于冷水正常启动。</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空调系统各设备的启动顺序为：冷却水泵→冷冻水泵（至少运行2分钟后）→冷却塔风机（是冷却水温度而定）→冷水机组。</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启动部分楼层的空调箱（风柜），使空调系统带有一定的负载。</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冷却水/冷冻水泵的启停</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根据负荷情况选择要投入运行水泵的数量。</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溴冷机主机启动前，在水泵控制柜上按下启动按钮，水泵启动，运行指示灯亮。</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溴冷机主机溶液稀释完毕后，在水泵控制柜上接下停止按钮，水泵停止运行，停止指示灯亮。</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根据负荷情况选择要投入运行冷却塔的数量。</w:t>
      </w:r>
    </w:p>
    <w:p>
      <w:pPr>
        <w:widowControl/>
        <w:adjustRightInd w:val="0"/>
        <w:snapToGrid w:val="0"/>
        <w:spacing w:line="480" w:lineRule="auto"/>
        <w:ind w:right="-50" w:rightChars="-24"/>
        <w:rPr>
          <w:rFonts w:hint="eastAsia" w:ascii="宋体" w:hAnsi="宋体" w:eastAsia="宋体" w:cs="宋体"/>
          <w:sz w:val="24"/>
          <w:lang w:val="en-US" w:eastAsia="zh-CN"/>
        </w:rPr>
        <w:sectPr>
          <w:footerReference r:id="rId18" w:type="default"/>
          <w:pgSz w:w="11906" w:h="16838"/>
          <w:pgMar w:top="1247" w:right="1418" w:bottom="993" w:left="1418" w:header="851" w:footer="992" w:gutter="0"/>
          <w:pgNumType w:fmt="decimal"/>
          <w:cols w:space="720" w:num="1"/>
          <w:docGrid w:linePitch="312" w:charSpace="0"/>
        </w:sectPr>
      </w:pP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在冷却塔控制柜上按下启动按钮，冷却塔启动，运行指示灯亮。</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制冷主机停止运行后，在冷却塔控制柜上按下停止按钮，冷却塔停止运行，停止指示灯亮。</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溴冷机的启动</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按下机组控制箱显示屏开机键即可。</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根据仪表和操作面板上显示的数据记录各主要运行参数。</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机组运转过程中出现问题，显示屏显示故障信息，发出报警信号并自动停机。</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机组正常运转后，在《溴冷机调试运行记录表》中每小时记录一次主要设备的运转参数。根据调试参数判断机组运行情况，分析不正常的原因。进行修理。</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电气系统检查维护。</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 xml:space="preserve"> 设定参数调整：如冷媒水出水低温保护设定、冷却水高温报警设定、高发高压报警设定、高发溶液温度高温报警设定等等。</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 xml:space="preserve"> 时间继电器设定调整：设定时间继电器延时时间，使设备在适当时间内启动。</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lang w:val="en-US" w:eastAsia="zh-CN"/>
        </w:rPr>
        <w:t>热继电器设定调整：主要有真空泵热继电器、溶液泵热继电器、冷剂泵热继电器。主要设定延时时间，检测热继电器接触是否良好，保护是否正常。</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 xml:space="preserve"> 温度控制器调整：修正温度控制器温度偏差，使其与实际相符。</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 xml:space="preserve"> 压力控制器参数调整：调整机组各部的报警压力。</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压力表检测：检测（用标准压力表）压力表（特别是真空压力表）是否显示正常，不正常的更换。</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w:t>
      </w:r>
      <w:r>
        <w:rPr>
          <w:rFonts w:hint="eastAsia" w:ascii="宋体" w:hAnsi="宋体" w:eastAsia="宋体" w:cs="宋体"/>
          <w:sz w:val="24"/>
          <w:lang w:val="en-US" w:eastAsia="zh-CN"/>
        </w:rPr>
        <w:t xml:space="preserve"> 电控柜检测：绝缘检测、清灰除尘、紧固接线端子、电源接地检测、指示灯检测。</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eastAsia" w:ascii="宋体" w:hAnsi="宋体" w:cs="宋体"/>
          <w:sz w:val="24"/>
          <w:lang w:val="en-US" w:eastAsia="zh-CN"/>
        </w:rPr>
        <w:t>)</w:t>
      </w:r>
      <w:r>
        <w:rPr>
          <w:rFonts w:hint="eastAsia" w:ascii="宋体" w:hAnsi="宋体" w:eastAsia="宋体" w:cs="宋体"/>
          <w:sz w:val="24"/>
          <w:lang w:val="en-US" w:eastAsia="zh-CN"/>
        </w:rPr>
        <w:t>真空泵检测： 电机绝缘检测、极限真空检测。</w:t>
      </w:r>
    </w:p>
    <w:p>
      <w:pPr>
        <w:widowControl/>
        <w:adjustRightInd w:val="0"/>
        <w:snapToGrid w:val="0"/>
        <w:spacing w:line="480" w:lineRule="auto"/>
        <w:ind w:right="-50" w:rightChars="-24"/>
        <w:rPr>
          <w:rFonts w:hint="eastAsia" w:ascii="宋体" w:hAnsi="宋体" w:eastAsia="宋体" w:cs="宋体"/>
          <w:sz w:val="24"/>
          <w:lang w:val="en-US" w:eastAsia="zh-CN"/>
        </w:rPr>
        <w:sectPr>
          <w:footerReference r:id="rId19" w:type="default"/>
          <w:pgSz w:w="11906" w:h="16838"/>
          <w:pgMar w:top="1247" w:right="1418" w:bottom="993" w:left="1418" w:header="851" w:footer="992" w:gutter="0"/>
          <w:pgNumType w:fmt="decimal"/>
          <w:cols w:space="720" w:num="1"/>
          <w:docGrid w:linePitch="312" w:charSpace="0"/>
        </w:sectPr>
      </w:pP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cs="宋体"/>
          <w:sz w:val="24"/>
          <w:lang w:val="en-US" w:eastAsia="zh-CN"/>
        </w:rPr>
        <w:t>)</w:t>
      </w:r>
      <w:r>
        <w:rPr>
          <w:rFonts w:hint="eastAsia" w:ascii="宋体" w:hAnsi="宋体" w:eastAsia="宋体" w:cs="宋体"/>
          <w:sz w:val="24"/>
          <w:lang w:val="en-US" w:eastAsia="zh-CN"/>
        </w:rPr>
        <w:t>保护装置检测： 冷温水靶流保护、低温保护装置检测：冷温水温度保护装置、冷却水靶流保护装置检测。检测靶流开关动作是否灵活，断水实验是否报警、低温情况下低温传感器是否报警。</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cs="宋体"/>
          <w:sz w:val="24"/>
          <w:lang w:val="en-US" w:eastAsia="zh-CN"/>
        </w:rPr>
        <w:t>)</w:t>
      </w:r>
      <w:r>
        <w:rPr>
          <w:rFonts w:hint="eastAsia" w:ascii="宋体" w:hAnsi="宋体" w:eastAsia="宋体" w:cs="宋体"/>
          <w:sz w:val="24"/>
          <w:lang w:val="en-US" w:eastAsia="zh-CN"/>
        </w:rPr>
        <w:t>高发超温保护装置检测：检测高发温度探头是否失灵，显示温度是否准确，接线是否牢固，根据检测结果决定是否更换温度探头。</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11</w:t>
      </w:r>
      <w:r>
        <w:rPr>
          <w:rFonts w:hint="eastAsia" w:ascii="宋体" w:hAnsi="宋体" w:cs="宋体"/>
          <w:sz w:val="24"/>
          <w:lang w:val="en-US" w:eastAsia="zh-CN"/>
        </w:rPr>
        <w:t>)</w:t>
      </w:r>
      <w:r>
        <w:rPr>
          <w:rFonts w:hint="eastAsia" w:ascii="宋体" w:hAnsi="宋体" w:eastAsia="宋体" w:cs="宋体"/>
          <w:sz w:val="24"/>
          <w:lang w:val="en-US" w:eastAsia="zh-CN"/>
        </w:rPr>
        <w:t>高发液位、冷剂液位保护：检测液位探头，确保线头连接牢固，传感液位信号准确。</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12</w:t>
      </w:r>
      <w:r>
        <w:rPr>
          <w:rFonts w:hint="eastAsia" w:ascii="宋体" w:hAnsi="宋体" w:cs="宋体"/>
          <w:sz w:val="24"/>
          <w:lang w:val="en-US" w:eastAsia="zh-CN"/>
        </w:rPr>
        <w:t>)</w:t>
      </w:r>
      <w:r>
        <w:rPr>
          <w:rFonts w:hint="eastAsia" w:ascii="宋体" w:hAnsi="宋体" w:eastAsia="宋体" w:cs="宋体"/>
          <w:sz w:val="24"/>
          <w:lang w:val="en-US" w:eastAsia="zh-CN"/>
        </w:rPr>
        <w:t>燃烧机火焰监测、漏气保护装置检测。</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13</w:t>
      </w:r>
      <w:r>
        <w:rPr>
          <w:rFonts w:hint="eastAsia" w:ascii="宋体" w:hAnsi="宋体" w:cs="宋体"/>
          <w:sz w:val="24"/>
          <w:lang w:val="en-US" w:eastAsia="zh-CN"/>
        </w:rPr>
        <w:t>)</w:t>
      </w:r>
      <w:r>
        <w:rPr>
          <w:rFonts w:hint="eastAsia" w:ascii="宋体" w:hAnsi="宋体" w:eastAsia="宋体" w:cs="宋体"/>
          <w:sz w:val="24"/>
          <w:lang w:val="en-US" w:eastAsia="zh-CN"/>
        </w:rPr>
        <w:t xml:space="preserve"> 屏蔽泵绝缘检测：检测屏蔽泵接线，绝缘是否良好，运行温度温度是否正常。</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14</w:t>
      </w:r>
      <w:r>
        <w:rPr>
          <w:rFonts w:hint="eastAsia" w:ascii="宋体" w:hAnsi="宋体" w:cs="宋体"/>
          <w:sz w:val="24"/>
          <w:lang w:val="en-US" w:eastAsia="zh-CN"/>
        </w:rPr>
        <w:t>)</w:t>
      </w:r>
      <w:r>
        <w:rPr>
          <w:rFonts w:hint="eastAsia" w:ascii="宋体" w:hAnsi="宋体" w:eastAsia="宋体" w:cs="宋体"/>
          <w:sz w:val="24"/>
          <w:lang w:val="en-US" w:eastAsia="zh-CN"/>
        </w:rPr>
        <w:t>机组负荷自动调节性能检测：机组负荷性能自动调节主要根据机组低温保护自动停机、燃烧机大、小火等进行调节，因此要检测燃烧机进行调节，调节溶液阀、冷剂阀，使其达到最佳效果。</w:t>
      </w:r>
    </w:p>
    <w:p>
      <w:pPr>
        <w:widowControl/>
        <w:adjustRightInd w:val="0"/>
        <w:snapToGrid w:val="0"/>
        <w:spacing w:line="480" w:lineRule="auto"/>
        <w:ind w:right="-50" w:rightChars="-24"/>
        <w:rPr>
          <w:rFonts w:hint="eastAsia" w:ascii="宋体" w:hAnsi="宋体" w:eastAsia="宋体" w:cs="宋体"/>
          <w:sz w:val="24"/>
          <w:lang w:val="en-US" w:eastAsia="zh-CN"/>
        </w:rPr>
      </w:pPr>
      <w:r>
        <w:rPr>
          <w:rFonts w:hint="eastAsia" w:ascii="宋体" w:hAnsi="宋体" w:eastAsia="宋体" w:cs="宋体"/>
          <w:sz w:val="24"/>
          <w:lang w:val="en-US" w:eastAsia="zh-CN"/>
        </w:rPr>
        <w:t>15</w:t>
      </w:r>
      <w:r>
        <w:rPr>
          <w:rFonts w:hint="eastAsia" w:ascii="宋体" w:hAnsi="宋体" w:cs="宋体"/>
          <w:sz w:val="24"/>
          <w:lang w:val="en-US" w:eastAsia="zh-CN"/>
        </w:rPr>
        <w:t>)</w:t>
      </w:r>
      <w:r>
        <w:rPr>
          <w:rFonts w:hint="eastAsia" w:ascii="宋体" w:hAnsi="宋体" w:eastAsia="宋体" w:cs="宋体"/>
          <w:sz w:val="24"/>
          <w:lang w:val="en-US" w:eastAsia="zh-CN"/>
        </w:rPr>
        <w:t>高发和冷剂水液位自动调节检测：高发液位是通过液位探头进行控制，检测是否有假液位现象，如有假液位现象，拆下探头进行清洗，清洗干净后用螺纹胶密封并调节探头位置。</w:t>
      </w:r>
    </w:p>
    <w:p>
      <w:pPr>
        <w:widowControl/>
        <w:adjustRightInd w:val="0"/>
        <w:snapToGrid w:val="0"/>
        <w:spacing w:line="480" w:lineRule="auto"/>
        <w:ind w:right="-50" w:rightChars="-24"/>
        <w:rPr>
          <w:rFonts w:hint="eastAsia" w:ascii="宋体" w:hAnsi="宋体" w:eastAsia="宋体" w:cs="宋体"/>
          <w:sz w:val="24"/>
          <w:lang w:val="en-US" w:eastAsia="zh-CN"/>
        </w:rPr>
      </w:pPr>
    </w:p>
    <w:p>
      <w:pPr>
        <w:widowControl/>
        <w:adjustRightInd w:val="0"/>
        <w:snapToGrid w:val="0"/>
        <w:spacing w:line="480" w:lineRule="auto"/>
        <w:ind w:right="-50" w:rightChars="-24"/>
        <w:rPr>
          <w:rFonts w:hint="eastAsia" w:ascii="宋体" w:hAnsi="宋体" w:eastAsia="宋体" w:cs="宋体"/>
          <w:sz w:val="24"/>
          <w:lang w:val="en-US" w:eastAsia="zh-CN"/>
        </w:rPr>
      </w:pPr>
    </w:p>
    <w:p>
      <w:pPr>
        <w:widowControl/>
        <w:adjustRightInd w:val="0"/>
        <w:snapToGrid w:val="0"/>
        <w:spacing w:line="480" w:lineRule="auto"/>
        <w:ind w:right="-50" w:rightChars="-24"/>
        <w:rPr>
          <w:rFonts w:hint="eastAsia" w:ascii="宋体" w:hAnsi="宋体" w:eastAsia="宋体" w:cs="宋体"/>
          <w:sz w:val="24"/>
          <w:lang w:val="en-US" w:eastAsia="zh-CN"/>
        </w:rPr>
      </w:pPr>
    </w:p>
    <w:p>
      <w:pPr>
        <w:widowControl/>
        <w:adjustRightInd w:val="0"/>
        <w:snapToGrid w:val="0"/>
        <w:spacing w:line="480" w:lineRule="auto"/>
        <w:ind w:right="-50" w:rightChars="-24"/>
        <w:rPr>
          <w:rFonts w:hint="eastAsia" w:ascii="宋体" w:hAnsi="宋体" w:eastAsia="宋体" w:cs="宋体"/>
          <w:sz w:val="24"/>
          <w:lang w:val="en-US" w:eastAsia="zh-CN"/>
        </w:rPr>
      </w:pPr>
      <w:bookmarkStart w:id="13" w:name="_GoBack"/>
      <w:bookmarkEnd w:id="13"/>
    </w:p>
    <w:p>
      <w:pPr>
        <w:widowControl/>
        <w:adjustRightInd w:val="0"/>
        <w:snapToGrid w:val="0"/>
        <w:spacing w:line="480" w:lineRule="auto"/>
        <w:ind w:right="-50" w:rightChars="-24"/>
        <w:rPr>
          <w:rFonts w:hint="eastAsia" w:ascii="宋体" w:hAnsi="宋体" w:eastAsia="宋体" w:cs="宋体"/>
          <w:sz w:val="24"/>
          <w:lang w:val="en-US" w:eastAsia="zh-CN"/>
        </w:rPr>
      </w:pPr>
    </w:p>
    <w:p>
      <w:pPr>
        <w:widowControl/>
        <w:adjustRightInd w:val="0"/>
        <w:snapToGrid w:val="0"/>
        <w:spacing w:line="480" w:lineRule="auto"/>
        <w:ind w:right="-50" w:rightChars="-24"/>
        <w:rPr>
          <w:rFonts w:hint="eastAsia" w:ascii="宋体" w:hAnsi="宋体" w:eastAsia="宋体" w:cs="宋体"/>
          <w:sz w:val="24"/>
          <w:lang w:val="en-US" w:eastAsia="zh-CN"/>
        </w:rPr>
      </w:pPr>
    </w:p>
    <w:p>
      <w:pPr>
        <w:widowControl/>
        <w:adjustRightInd w:val="0"/>
        <w:snapToGrid w:val="0"/>
        <w:spacing w:line="480" w:lineRule="auto"/>
        <w:ind w:right="-50" w:rightChars="-24"/>
        <w:rPr>
          <w:rFonts w:hint="eastAsia" w:ascii="宋体" w:hAnsi="宋体" w:eastAsia="宋体" w:cs="宋体"/>
          <w:sz w:val="24"/>
          <w:lang w:val="en-US" w:eastAsia="zh-CN"/>
        </w:rPr>
      </w:pPr>
    </w:p>
    <w:bookmarkEnd w:id="7"/>
    <w:bookmarkEnd w:id="8"/>
    <w:p>
      <w:pPr>
        <w:widowControl/>
        <w:adjustRightInd w:val="0"/>
        <w:snapToGrid w:val="0"/>
        <w:spacing w:line="480" w:lineRule="auto"/>
        <w:ind w:right="-50" w:rightChars="-24"/>
        <w:rPr>
          <w:rFonts w:hint="eastAsia" w:ascii="宋体" w:hAnsi="宋体" w:eastAsia="宋体" w:cs="宋体"/>
          <w:sz w:val="24"/>
          <w:lang w:val="en-US" w:eastAsia="zh-CN"/>
        </w:rPr>
      </w:pPr>
    </w:p>
    <w:sectPr>
      <w:footerReference r:id="rId20" w:type="default"/>
      <w:pgSz w:w="11906" w:h="16838"/>
      <w:pgMar w:top="1247" w:right="1418" w:bottom="993"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default" w:eastAsia="宋体"/>
        <w:lang w:val="en-US" w:eastAsia="zh-CN"/>
      </w:rPr>
    </w:pPr>
    <w:r>
      <w:rPr>
        <w:rFonts w:hint="eastAsia"/>
        <w:lang w:val="en-US" w:eastAsia="zh-CN"/>
      </w:rPr>
      <w:t>10</w:t>
    </w:r>
  </w:p>
  <w:p>
    <w:pPr>
      <w:pStyle w:val="8"/>
      <w:tabs>
        <w:tab w:val="clear" w:pos="4153"/>
      </w:tabs>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default" w:eastAsia="宋体"/>
        <w:lang w:val="en-US" w:eastAsia="zh-CN"/>
      </w:rPr>
    </w:pPr>
    <w:r>
      <w:rPr>
        <w:rFonts w:hint="eastAsia"/>
        <w:lang w:val="en-US" w:eastAsia="zh-CN"/>
      </w:rPr>
      <w:t>11</w:t>
    </w:r>
  </w:p>
  <w:p>
    <w:pPr>
      <w:pStyle w:val="8"/>
      <w:tabs>
        <w:tab w:val="clear" w:pos="4153"/>
      </w:tabs>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default" w:eastAsia="宋体"/>
        <w:lang w:val="en-US" w:eastAsia="zh-CN"/>
      </w:rPr>
    </w:pPr>
    <w:r>
      <w:rPr>
        <w:rFonts w:hint="eastAsia"/>
        <w:lang w:val="en-US" w:eastAsia="zh-CN"/>
      </w:rPr>
      <w:t>13</w:t>
    </w:r>
  </w:p>
  <w:p>
    <w:pPr>
      <w:pStyle w:val="8"/>
      <w:tabs>
        <w:tab w:val="clear" w:pos="4153"/>
      </w:tabs>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both"/>
    </w:pPr>
  </w:p>
  <w:p>
    <w:pPr>
      <w:pStyle w:val="8"/>
      <w:jc w:val="center"/>
      <w:rPr>
        <w:rFonts w:hint="default" w:eastAsia="宋体"/>
        <w:lang w:val="en-US" w:eastAsia="zh-CN"/>
      </w:rPr>
    </w:pPr>
    <w:r>
      <w:rPr>
        <w:rFonts w:hint="eastAsia"/>
        <w:lang w:val="en-US" w:eastAsia="zh-CN"/>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default" w:eastAsia="宋体"/>
        <w:lang w:val="en-US" w:eastAsia="zh-CN"/>
      </w:rPr>
    </w:pPr>
    <w:r>
      <w:rPr>
        <w:rFonts w:hint="eastAsia"/>
        <w:lang w:val="en-US" w:eastAsia="zh-CN"/>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both"/>
      <w:rPr>
        <w:rFonts w:hint="default" w:eastAsia="宋体"/>
        <w:lang w:val="en-US" w:eastAsia="zh-CN"/>
      </w:rPr>
    </w:pPr>
    <w:r>
      <w:rPr>
        <w:rFonts w:hint="eastAsia"/>
        <w:lang w:val="en-US" w:eastAsia="zh-CN"/>
      </w:rPr>
      <w:tab/>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16775986"/>
                          </w:sdtPr>
                          <w:sdtContent>
                            <w:p>
                              <w:pPr>
                                <w:pStyle w:val="8"/>
                                <w:jc w:val="center"/>
                              </w:pPr>
                              <w:r>
                                <w:fldChar w:fldCharType="begin"/>
                              </w:r>
                              <w:r>
                                <w:instrText xml:space="preserve">PAGE   \* MERGEFORMAT</w:instrText>
                              </w:r>
                              <w:r>
                                <w:fldChar w:fldCharType="separate"/>
                              </w:r>
                              <w:r>
                                <w:rPr>
                                  <w:lang w:val="zh-CN"/>
                                </w:rPr>
                                <w:t>-</w:t>
                              </w:r>
                              <w:r>
                                <w:t xml:space="preserve"> 5 -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i0p04AgAAb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KLSnTgCAABvBAAADgAAAAAAAAABACAAAAAfAQAAZHJzL2Uyb0RvYy54&#10;bWxQSwUGAAAAAAYABgBZAQAAyQUAAAAA&#10;">
              <v:fill on="f" focussize="0,0"/>
              <v:stroke on="f" weight="0.5pt"/>
              <v:imagedata o:title=""/>
              <o:lock v:ext="edit" aspectratio="f"/>
              <v:textbox inset="0mm,0mm,0mm,0mm" style="mso-fit-shape-to-text:t;">
                <w:txbxContent>
                  <w:sdt>
                    <w:sdtPr>
                      <w:id w:val="-916775986"/>
                    </w:sdtPr>
                    <w:sdtContent>
                      <w:p>
                        <w:pPr>
                          <w:pStyle w:val="8"/>
                          <w:jc w:val="center"/>
                        </w:pPr>
                        <w:r>
                          <w:fldChar w:fldCharType="begin"/>
                        </w:r>
                        <w:r>
                          <w:instrText xml:space="preserve">PAGE   \* MERGEFORMAT</w:instrText>
                        </w:r>
                        <w:r>
                          <w:fldChar w:fldCharType="separate"/>
                        </w:r>
                        <w:r>
                          <w:rPr>
                            <w:lang w:val="zh-CN"/>
                          </w:rPr>
                          <w:t>-</w:t>
                        </w:r>
                        <w:r>
                          <w:t xml:space="preserve"> 5 -</w:t>
                        </w:r>
                        <w:r>
                          <w:fldChar w:fldCharType="end"/>
                        </w:r>
                      </w:p>
                    </w:sdtContent>
                  </w:sdt>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hint="default" w:ascii="Times New Roman" w:hAnsi="Times New Roman" w:eastAsia="宋体"/>
        <w:sz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sz w:val="18"/>
        <w:lang w:val="en-US" w:eastAsia="zh-CN"/>
      </w:rPr>
      <w:t>5</w:t>
    </w:r>
  </w:p>
  <w:p>
    <w:pPr>
      <w:ind w:firstLine="0"/>
      <w:rPr>
        <w:rFonts w:ascii="Times New Roman" w:hAnsi="Times New Roman"/>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hint="eastAsia" w:ascii="Times New Roman" w:hAnsi="Times New Roman" w:eastAsia="宋体"/>
        <w:sz w:val="18"/>
        <w:lang w:eastAsia="zh-CN"/>
      </w:rPr>
    </w:pPr>
    <w:r>
      <w:rPr>
        <w:rFonts w:hint="eastAsia"/>
        <w:sz w:val="18"/>
        <w:lang w:val="en-US" w:eastAsia="zh-CN"/>
      </w:rPr>
      <w:t>4</w:t>
    </w:r>
  </w:p>
  <w:p>
    <w:pPr>
      <w:ind w:firstLine="0"/>
      <w:rPr>
        <w:rFonts w:ascii="Times New Roman" w:hAnsi="Times New Roman"/>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hint="default" w:ascii="Times New Roman" w:hAnsi="Times New Roman" w:eastAsia="宋体"/>
        <w:sz w:val="18"/>
        <w:lang w:val="en-US" w:eastAsia="zh-CN"/>
      </w:rPr>
    </w:pPr>
    <w:r>
      <w:rPr>
        <w:rFonts w:hint="eastAsia"/>
        <w:sz w:val="18"/>
        <w:lang w:val="en-US" w:eastAsia="zh-CN"/>
      </w:rPr>
      <w:t>5</w:t>
    </w:r>
  </w:p>
  <w:p>
    <w:pPr>
      <w:ind w:firstLine="0"/>
      <w:rPr>
        <w:rFonts w:ascii="Times New Roman" w:hAnsi="Times New Roman"/>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hint="default" w:ascii="Times New Roman" w:hAnsi="Times New Roman" w:eastAsia="宋体"/>
        <w:sz w:val="18"/>
        <w:lang w:val="en-US" w:eastAsia="zh-CN"/>
      </w:rPr>
    </w:pPr>
    <w:r>
      <w:rPr>
        <w:rFonts w:hint="eastAsia"/>
        <w:sz w:val="18"/>
        <w:lang w:val="en-US" w:eastAsia="zh-CN"/>
      </w:rPr>
      <w:t>6</w:t>
    </w:r>
  </w:p>
  <w:p>
    <w:pPr>
      <w:ind w:firstLine="0"/>
      <w:rPr>
        <w:rFonts w:ascii="Times New Roman" w:hAnsi="Times New Roman"/>
        <w:sz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eastAsia" w:eastAsia="宋体"/>
        <w:lang w:val="en-US" w:eastAsia="zh-CN"/>
      </w:rPr>
    </w:pPr>
    <w:r>
      <w:rPr>
        <w:rFonts w:hint="eastAsia"/>
        <w:lang w:val="en-US" w:eastAsia="zh-CN"/>
      </w:rPr>
      <w:t>7</w:t>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eastAsia" w:eastAsia="宋体"/>
        <w:lang w:val="en-US" w:eastAsia="zh-CN"/>
      </w:rPr>
    </w:pPr>
    <w:r>
      <w:rPr>
        <w:rFonts w:hint="eastAsia"/>
        <w:lang w:val="en-US" w:eastAsia="zh-CN"/>
      </w:rPr>
      <w:t>8</w:t>
    </w:r>
  </w:p>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5"/>
        <w:tab w:val="clear" w:pos="4153"/>
      </w:tabs>
      <w:jc w:val="center"/>
      <w:rPr>
        <w:rFonts w:hint="eastAsia" w:eastAsia="宋体"/>
        <w:lang w:val="en-US" w:eastAsia="zh-CN"/>
      </w:rPr>
    </w:pPr>
    <w:r>
      <w:rPr>
        <w:rFonts w:hint="eastAsia"/>
        <w:lang w:val="en-US" w:eastAsia="zh-CN"/>
      </w:rPr>
      <w:t>9</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spacing w:before="100" w:beforeAutospacing="1"/>
      <w:ind w:firstLine="0"/>
      <w:rPr>
        <w:rFonts w:hint="eastAsia" w:ascii="华文新魏" w:hAnsi="Arial" w:eastAsia="华文新魏"/>
        <w:sz w:val="21"/>
      </w:rPr>
    </w:pPr>
    <w:r>
      <w:rPr>
        <w:rFonts w:hint="eastAsia" w:ascii="华文新魏" w:hAnsi="Arial" w:eastAsia="华文新魏"/>
        <w:sz w:val="21"/>
      </w:rPr>
      <w:t xml:space="preserve"> </w:t>
    </w:r>
    <w:r>
      <w:rPr>
        <w:rFonts w:ascii="黑体" w:hAnsi="Times New Roman" w:eastAsia="黑体"/>
        <w:b/>
        <w:sz w:val="48"/>
      </w:rPr>
      <w:drawing>
        <wp:inline distT="0" distB="0" distL="114300" distR="114300">
          <wp:extent cx="866775" cy="283210"/>
          <wp:effectExtent l="0" t="0" r="9525" b="2540"/>
          <wp:docPr id="5" name="图片 4" descr="说明: NEW B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说明: NEW BHG LOGO"/>
                  <pic:cNvPicPr>
                    <a:picLocks noChangeAspect="1"/>
                  </pic:cNvPicPr>
                </pic:nvPicPr>
                <pic:blipFill>
                  <a:blip r:embed="rId1"/>
                  <a:stretch>
                    <a:fillRect/>
                  </a:stretch>
                </pic:blipFill>
                <pic:spPr>
                  <a:xfrm>
                    <a:off x="0" y="0"/>
                    <a:ext cx="866775" cy="283210"/>
                  </a:xfrm>
                  <a:prstGeom prst="rect">
                    <a:avLst/>
                  </a:prstGeom>
                  <a:noFill/>
                  <a:ln>
                    <a:noFill/>
                  </a:ln>
                </pic:spPr>
              </pic:pic>
            </a:graphicData>
          </a:graphic>
        </wp:inline>
      </w:drawing>
    </w:r>
    <w:r>
      <w:rPr>
        <w:rFonts w:hint="eastAsia" w:ascii="华文新魏" w:hAnsi="Arial" w:eastAsia="华文新魏"/>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spacing w:before="100" w:beforeAutospacing="1"/>
      <w:ind w:left="7228" w:hanging="7228" w:hangingChars="1500"/>
      <w:rPr>
        <w:rFonts w:ascii="宋体" w:hAnsi="宋体"/>
        <w:b/>
        <w:sz w:val="21"/>
      </w:rPr>
    </w:pPr>
    <w:r>
      <w:rPr>
        <w:rFonts w:ascii="黑体" w:hAnsi="Times New Roman" w:eastAsia="黑体"/>
        <w:b/>
        <w:sz w:val="48"/>
      </w:rPr>
      <w:drawing>
        <wp:inline distT="0" distB="0" distL="114300" distR="114300">
          <wp:extent cx="866775" cy="283210"/>
          <wp:effectExtent l="0" t="0" r="9525" b="2540"/>
          <wp:docPr id="8" name="图片 3" descr="说明: NEW B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说明: NEW BHG LOGO"/>
                  <pic:cNvPicPr>
                    <a:picLocks noChangeAspect="1"/>
                  </pic:cNvPicPr>
                </pic:nvPicPr>
                <pic:blipFill>
                  <a:blip r:embed="rId1"/>
                  <a:stretch>
                    <a:fillRect/>
                  </a:stretch>
                </pic:blipFill>
                <pic:spPr>
                  <a:xfrm>
                    <a:off x="0" y="0"/>
                    <a:ext cx="866775" cy="283210"/>
                  </a:xfrm>
                  <a:prstGeom prst="rect">
                    <a:avLst/>
                  </a:prstGeom>
                  <a:noFill/>
                  <a:ln>
                    <a:noFill/>
                  </a:ln>
                </pic:spPr>
              </pic:pic>
            </a:graphicData>
          </a:graphic>
        </wp:inline>
      </w:drawing>
    </w:r>
    <w:r>
      <w:rPr>
        <w:rFonts w:hint="eastAsia" w:ascii="楷体_GB2312" w:hAnsi="Arial" w:eastAsia="楷体_GB2312"/>
        <w:b/>
        <w:sz w:val="21"/>
      </w:rPr>
      <w:t xml:space="preserve">                             </w:t>
    </w:r>
    <w:r>
      <w:rPr>
        <w:rFonts w:hint="eastAsia" w:ascii="宋体" w:hAnsi="宋体"/>
        <w:b/>
        <w:sz w:val="21"/>
      </w:rPr>
      <w:t>同成街店外墙门头烤漆玻璃及灯带更换项目招标文件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6D9F2"/>
    <w:multiLevelType w:val="singleLevel"/>
    <w:tmpl w:val="BBD6D9F2"/>
    <w:lvl w:ilvl="0" w:tentative="0">
      <w:start w:val="1"/>
      <w:numFmt w:val="decimal"/>
      <w:lvlText w:val="%1)"/>
      <w:lvlJc w:val="left"/>
      <w:pPr>
        <w:ind w:left="425" w:hanging="425"/>
      </w:pPr>
      <w:rPr>
        <w:rFonts w:hint="default"/>
      </w:rPr>
    </w:lvl>
  </w:abstractNum>
  <w:abstractNum w:abstractNumId="1">
    <w:nsid w:val="E2516FDF"/>
    <w:multiLevelType w:val="singleLevel"/>
    <w:tmpl w:val="E2516FDF"/>
    <w:lvl w:ilvl="0" w:tentative="0">
      <w:start w:val="1"/>
      <w:numFmt w:val="decimal"/>
      <w:lvlText w:val="%1)"/>
      <w:lvlJc w:val="left"/>
      <w:pPr>
        <w:ind w:left="425" w:hanging="425"/>
      </w:pPr>
      <w:rPr>
        <w:rFonts w:hint="default"/>
      </w:rPr>
    </w:lvl>
  </w:abstractNum>
  <w:abstractNum w:abstractNumId="2">
    <w:nsid w:val="F2F7FE99"/>
    <w:multiLevelType w:val="singleLevel"/>
    <w:tmpl w:val="F2F7FE99"/>
    <w:lvl w:ilvl="0" w:tentative="0">
      <w:start w:val="1"/>
      <w:numFmt w:val="decimal"/>
      <w:lvlText w:val="%1."/>
      <w:lvlJc w:val="left"/>
      <w:pPr>
        <w:ind w:left="425" w:hanging="425"/>
      </w:pPr>
      <w:rPr>
        <w:rFonts w:hint="default"/>
      </w:rPr>
    </w:lvl>
  </w:abstractNum>
  <w:abstractNum w:abstractNumId="3">
    <w:nsid w:val="1B88ABB6"/>
    <w:multiLevelType w:val="singleLevel"/>
    <w:tmpl w:val="1B88ABB6"/>
    <w:lvl w:ilvl="0" w:tentative="0">
      <w:start w:val="1"/>
      <w:numFmt w:val="chineseCounting"/>
      <w:suff w:val="nothing"/>
      <w:lvlText w:val="%1、"/>
      <w:lvlJc w:val="left"/>
      <w:rPr>
        <w:rFonts w:hint="eastAsia"/>
      </w:rPr>
    </w:lvl>
  </w:abstractNum>
  <w:abstractNum w:abstractNumId="4">
    <w:nsid w:val="48EDFA79"/>
    <w:multiLevelType w:val="singleLevel"/>
    <w:tmpl w:val="48EDFA79"/>
    <w:lvl w:ilvl="0" w:tentative="0">
      <w:start w:val="1"/>
      <w:numFmt w:val="decimal"/>
      <w:lvlText w:val="%1)"/>
      <w:lvlJc w:val="left"/>
      <w:pPr>
        <w:ind w:left="425" w:hanging="425"/>
      </w:pPr>
      <w:rPr>
        <w:rFonts w:hint="default"/>
      </w:rPr>
    </w:lvl>
  </w:abstractNum>
  <w:abstractNum w:abstractNumId="5">
    <w:nsid w:val="5C0E10B0"/>
    <w:multiLevelType w:val="singleLevel"/>
    <w:tmpl w:val="5C0E10B0"/>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C8"/>
    <w:rsid w:val="000024CC"/>
    <w:rsid w:val="000212FB"/>
    <w:rsid w:val="00060D95"/>
    <w:rsid w:val="000774CE"/>
    <w:rsid w:val="000926FB"/>
    <w:rsid w:val="00110B4F"/>
    <w:rsid w:val="00114352"/>
    <w:rsid w:val="001325C2"/>
    <w:rsid w:val="001E0DDE"/>
    <w:rsid w:val="003F37C8"/>
    <w:rsid w:val="00411E59"/>
    <w:rsid w:val="005542C8"/>
    <w:rsid w:val="00556570"/>
    <w:rsid w:val="005574D7"/>
    <w:rsid w:val="0059620A"/>
    <w:rsid w:val="005A41F8"/>
    <w:rsid w:val="00695219"/>
    <w:rsid w:val="006C6126"/>
    <w:rsid w:val="007A7FB7"/>
    <w:rsid w:val="007F3119"/>
    <w:rsid w:val="007F686F"/>
    <w:rsid w:val="00842ED0"/>
    <w:rsid w:val="009E5854"/>
    <w:rsid w:val="00A54B60"/>
    <w:rsid w:val="00AA7D79"/>
    <w:rsid w:val="00AD7AB4"/>
    <w:rsid w:val="00B24119"/>
    <w:rsid w:val="00BA1084"/>
    <w:rsid w:val="00BA14DA"/>
    <w:rsid w:val="00BA26A1"/>
    <w:rsid w:val="00BC4AFF"/>
    <w:rsid w:val="00BC5260"/>
    <w:rsid w:val="00C261BA"/>
    <w:rsid w:val="00D7399C"/>
    <w:rsid w:val="00DD343E"/>
    <w:rsid w:val="00E85BE0"/>
    <w:rsid w:val="00F45779"/>
    <w:rsid w:val="00F750E5"/>
    <w:rsid w:val="02E45156"/>
    <w:rsid w:val="056A4677"/>
    <w:rsid w:val="05967AC1"/>
    <w:rsid w:val="07D63BB4"/>
    <w:rsid w:val="087E4ECC"/>
    <w:rsid w:val="09750016"/>
    <w:rsid w:val="0A124853"/>
    <w:rsid w:val="0BB24A67"/>
    <w:rsid w:val="11A630CC"/>
    <w:rsid w:val="12495DD9"/>
    <w:rsid w:val="15C12268"/>
    <w:rsid w:val="176746A0"/>
    <w:rsid w:val="1B960AFF"/>
    <w:rsid w:val="1C530C70"/>
    <w:rsid w:val="1C6A3A5E"/>
    <w:rsid w:val="1CB10B2A"/>
    <w:rsid w:val="1DC855B3"/>
    <w:rsid w:val="1DEE1621"/>
    <w:rsid w:val="206E2280"/>
    <w:rsid w:val="20C82BDC"/>
    <w:rsid w:val="20CE23B9"/>
    <w:rsid w:val="24084F71"/>
    <w:rsid w:val="246A780F"/>
    <w:rsid w:val="26455385"/>
    <w:rsid w:val="2B895215"/>
    <w:rsid w:val="2C73754D"/>
    <w:rsid w:val="2E9C595C"/>
    <w:rsid w:val="2EBF79F5"/>
    <w:rsid w:val="2EF3116B"/>
    <w:rsid w:val="2FC31D9E"/>
    <w:rsid w:val="33432A97"/>
    <w:rsid w:val="34711BDB"/>
    <w:rsid w:val="34E65738"/>
    <w:rsid w:val="373140F0"/>
    <w:rsid w:val="3C5A0C1F"/>
    <w:rsid w:val="3CD90767"/>
    <w:rsid w:val="3EB64108"/>
    <w:rsid w:val="43A05748"/>
    <w:rsid w:val="43A13561"/>
    <w:rsid w:val="43F07C1A"/>
    <w:rsid w:val="449B62ED"/>
    <w:rsid w:val="470A7DBF"/>
    <w:rsid w:val="47192996"/>
    <w:rsid w:val="49497A5D"/>
    <w:rsid w:val="4A342315"/>
    <w:rsid w:val="4AFF762D"/>
    <w:rsid w:val="4C0201EE"/>
    <w:rsid w:val="4CA97631"/>
    <w:rsid w:val="4CE4408E"/>
    <w:rsid w:val="4D8E05AB"/>
    <w:rsid w:val="4EE74A6B"/>
    <w:rsid w:val="4FD165A1"/>
    <w:rsid w:val="50F72210"/>
    <w:rsid w:val="550B392E"/>
    <w:rsid w:val="56FC1274"/>
    <w:rsid w:val="582D50D2"/>
    <w:rsid w:val="593F0502"/>
    <w:rsid w:val="5A1157E1"/>
    <w:rsid w:val="5AE54FC0"/>
    <w:rsid w:val="5CE07249"/>
    <w:rsid w:val="5D1842AF"/>
    <w:rsid w:val="5ECF567D"/>
    <w:rsid w:val="5F38687F"/>
    <w:rsid w:val="60560420"/>
    <w:rsid w:val="60B10095"/>
    <w:rsid w:val="61166BFA"/>
    <w:rsid w:val="6385112C"/>
    <w:rsid w:val="64972604"/>
    <w:rsid w:val="649B5B18"/>
    <w:rsid w:val="699740CB"/>
    <w:rsid w:val="69AB4E61"/>
    <w:rsid w:val="6D940835"/>
    <w:rsid w:val="6F573407"/>
    <w:rsid w:val="71223720"/>
    <w:rsid w:val="72C028F3"/>
    <w:rsid w:val="73ED27EB"/>
    <w:rsid w:val="74632B9F"/>
    <w:rsid w:val="76A0664E"/>
    <w:rsid w:val="77C07CD5"/>
    <w:rsid w:val="77D82D88"/>
    <w:rsid w:val="7CF7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Plain Text"/>
    <w:basedOn w:val="1"/>
    <w:qFormat/>
    <w:uiPriority w:val="0"/>
    <w:pPr>
      <w:spacing w:line="500" w:lineRule="exact"/>
    </w:pPr>
    <w:rPr>
      <w:rFonts w:ascii="宋体" w:hAnsi="Courier New"/>
      <w:kern w:val="0"/>
      <w:sz w:val="24"/>
      <w:szCs w:val="20"/>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character" w:styleId="15">
    <w:name w:val="page number"/>
    <w:basedOn w:val="14"/>
    <w:qFormat/>
    <w:uiPriority w:val="0"/>
  </w:style>
  <w:style w:type="character" w:customStyle="1" w:styleId="16">
    <w:name w:val="页眉 Char"/>
    <w:basedOn w:val="14"/>
    <w:link w:val="9"/>
    <w:qFormat/>
    <w:uiPriority w:val="0"/>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日期 Char"/>
    <w:basedOn w:val="14"/>
    <w:link w:val="6"/>
    <w:semiHidden/>
    <w:qFormat/>
    <w:uiPriority w:val="99"/>
    <w:rPr>
      <w:rFonts w:ascii="Times New Roman" w:hAnsi="Times New Roman" w:eastAsia="宋体" w:cs="Times New Roman"/>
      <w:szCs w:val="24"/>
    </w:rPr>
  </w:style>
  <w:style w:type="character" w:customStyle="1" w:styleId="20">
    <w:name w:val="标题 1 Char"/>
    <w:basedOn w:val="14"/>
    <w:link w:val="3"/>
    <w:qFormat/>
    <w:uiPriority w:val="9"/>
    <w:rPr>
      <w:rFonts w:ascii="Times New Roman" w:hAnsi="Times New Roman" w:eastAsia="宋体" w:cs="Times New Roman"/>
      <w:b/>
      <w:bCs/>
      <w:kern w:val="44"/>
      <w:sz w:val="44"/>
      <w:szCs w:val="44"/>
    </w:rPr>
  </w:style>
  <w:style w:type="character" w:customStyle="1" w:styleId="21">
    <w:name w:val="标题 2 Char"/>
    <w:basedOn w:val="14"/>
    <w:link w:val="4"/>
    <w:qFormat/>
    <w:uiPriority w:val="9"/>
    <w:rPr>
      <w:rFonts w:asciiTheme="majorHAnsi" w:hAnsiTheme="majorHAnsi" w:eastAsiaTheme="majorEastAsia" w:cstheme="majorBidi"/>
      <w:b/>
      <w:bCs/>
      <w:sz w:val="32"/>
      <w:szCs w:val="32"/>
    </w:rPr>
  </w:style>
  <w:style w:type="paragraph" w:customStyle="1" w:styleId="22">
    <w:name w:val="样式1"/>
    <w:basedOn w:val="1"/>
    <w:qFormat/>
    <w:uiPriority w:val="0"/>
    <w:pPr>
      <w:spacing w:line="360" w:lineRule="auto"/>
      <w:ind w:left="420" w:leftChars="200" w:firstLine="5" w:firstLineChars="2"/>
    </w:pPr>
    <w:rPr>
      <w:rFonts w:ascii="仿宋" w:hAnsi="仿宋"/>
      <w:sz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5F543-4F34-4F69-A557-F63233945FF0}">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1726</Words>
  <Characters>9844</Characters>
  <Lines>82</Lines>
  <Paragraphs>23</Paragraphs>
  <TotalTime>28</TotalTime>
  <ScaleCrop>false</ScaleCrop>
  <LinksUpToDate>false</LinksUpToDate>
  <CharactersWithSpaces>11547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2020-03-25T06:59:00Z</dcterms:created>
  <dc:creator>asus</dc:creator>
  <cp:lastModifiedBy>A  </cp:lastModifiedBy>
  <cp:lastPrinted>2021-04-25T08:47:10Z</cp:lastPrinted>
  <dcterms:modified xsi:type="dcterms:W3CDTF">2021-04-25T09:26:09Z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EC329E64ADF74C06AD36EC29FB95C26C</vt:lpwstr>
  </property>
</Properties>
</file>