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宋体" w:eastAsia="方正小标宋简体"/>
          <w:sz w:val="44"/>
          <w:szCs w:val="44"/>
        </w:rPr>
      </w:pPr>
    </w:p>
    <w:p>
      <w:pPr>
        <w:spacing w:line="6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新疆华泰氯碱厂承包商202</w:t>
      </w:r>
      <w:r>
        <w:rPr>
          <w:rFonts w:hint="eastAsia" w:ascii="方正小标宋简体" w:hAnsi="宋体" w:eastAsia="方正小标宋简体"/>
          <w:sz w:val="44"/>
          <w:szCs w:val="44"/>
          <w:lang w:val="en-US" w:eastAsia="zh-CN"/>
        </w:rPr>
        <w:t>1</w:t>
      </w:r>
      <w:r>
        <w:rPr>
          <w:rFonts w:hint="eastAsia" w:ascii="方正小标宋简体" w:hAnsi="宋体" w:eastAsia="方正小标宋简体"/>
          <w:sz w:val="44"/>
          <w:szCs w:val="44"/>
        </w:rPr>
        <w:t>年综治维稳和</w:t>
      </w:r>
    </w:p>
    <w:p>
      <w:pPr>
        <w:spacing w:line="64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平安建设工作责任书</w:t>
      </w:r>
    </w:p>
    <w:p>
      <w:pPr>
        <w:jc w:val="center"/>
        <w:rPr>
          <w:rFonts w:ascii="方正小标宋简体" w:hAnsi="华文中宋" w:eastAsia="方正小标宋简体"/>
          <w:sz w:val="32"/>
          <w:szCs w:val="32"/>
        </w:rPr>
      </w:pPr>
    </w:p>
    <w:p>
      <w:pPr>
        <w:spacing w:line="480" w:lineRule="exact"/>
        <w:ind w:firstLine="643" w:firstLineChars="200"/>
        <w:rPr>
          <w:rFonts w:ascii="仿宋_GB2312" w:hAnsi="华文中宋" w:eastAsia="仿宋_GB2312"/>
          <w:b/>
          <w:bCs/>
          <w:sz w:val="32"/>
          <w:szCs w:val="32"/>
        </w:rPr>
      </w:pPr>
      <w:r>
        <w:rPr>
          <w:rFonts w:hint="eastAsia" w:ascii="仿宋_GB2312" w:hAnsi="华文中宋" w:eastAsia="仿宋_GB2312"/>
          <w:b/>
          <w:bCs/>
          <w:sz w:val="32"/>
          <w:szCs w:val="32"/>
        </w:rPr>
        <w:t>甲方：新疆华泰重化工有限责任公司</w:t>
      </w:r>
    </w:p>
    <w:p>
      <w:pPr>
        <w:spacing w:line="480" w:lineRule="exact"/>
        <w:ind w:firstLine="643" w:firstLineChars="200"/>
        <w:rPr>
          <w:rFonts w:ascii="仿宋_GB2312" w:hAnsi="华文中宋" w:eastAsia="仿宋_GB2312"/>
          <w:b/>
          <w:bCs/>
          <w:sz w:val="32"/>
          <w:szCs w:val="32"/>
        </w:rPr>
      </w:pPr>
    </w:p>
    <w:p>
      <w:pPr>
        <w:spacing w:line="480" w:lineRule="exact"/>
        <w:ind w:firstLine="643" w:firstLineChars="200"/>
        <w:rPr>
          <w:rFonts w:ascii="仿宋_GB2312" w:hAnsi="华文中宋" w:eastAsia="仿宋_GB2312"/>
          <w:b/>
          <w:bCs/>
          <w:sz w:val="32"/>
          <w:szCs w:val="32"/>
        </w:rPr>
      </w:pPr>
      <w:r>
        <w:rPr>
          <w:rFonts w:hint="eastAsia" w:ascii="仿宋_GB2312" w:hAnsi="华文中宋" w:eastAsia="仿宋_GB2312"/>
          <w:b/>
          <w:bCs/>
          <w:sz w:val="32"/>
          <w:szCs w:val="32"/>
        </w:rPr>
        <w:t>乙方：北京三汇能环科技发展有限公司</w:t>
      </w:r>
    </w:p>
    <w:p>
      <w:pPr>
        <w:spacing w:line="480" w:lineRule="exact"/>
        <w:ind w:firstLine="643" w:firstLineChars="200"/>
        <w:rPr>
          <w:rFonts w:ascii="仿宋_GB2312" w:hAnsi="华文中宋" w:eastAsia="仿宋_GB2312"/>
          <w:b/>
          <w:bCs/>
          <w:sz w:val="32"/>
          <w:szCs w:val="32"/>
        </w:rPr>
      </w:pPr>
    </w:p>
    <w:p>
      <w:pPr>
        <w:spacing w:line="480" w:lineRule="exact"/>
        <w:rPr>
          <w:rFonts w:ascii="仿宋_GB2312" w:hAnsi="华文中宋" w:eastAsia="仿宋_GB2312"/>
          <w:sz w:val="32"/>
          <w:szCs w:val="32"/>
        </w:rPr>
      </w:pPr>
    </w:p>
    <w:p>
      <w:pPr>
        <w:spacing w:line="480" w:lineRule="exact"/>
        <w:ind w:firstLine="640" w:firstLineChars="200"/>
        <w:rPr>
          <w:rFonts w:ascii="仿宋_GB2312" w:hAnsi="华文中宋" w:eastAsia="仿宋_GB2312"/>
          <w:color w:val="000000"/>
          <w:sz w:val="32"/>
          <w:szCs w:val="32"/>
        </w:rPr>
      </w:pPr>
      <w:r>
        <w:rPr>
          <w:rFonts w:hint="eastAsia" w:ascii="仿宋_GB2312" w:hAnsi="华文中宋" w:eastAsia="仿宋_GB2312"/>
          <w:color w:val="000000"/>
          <w:sz w:val="32"/>
          <w:szCs w:val="32"/>
        </w:rPr>
        <w:t>为认真贯彻落实中央、自治区系列会议精神和自治区国资委各项安排部署，</w:t>
      </w:r>
      <w:r>
        <w:rPr>
          <w:rFonts w:hint="eastAsia" w:ascii="仿宋_GB2312" w:eastAsia="仿宋_GB2312" w:cs="仿宋_GB2312"/>
          <w:color w:val="000000"/>
          <w:sz w:val="32"/>
          <w:szCs w:val="32"/>
        </w:rPr>
        <w:t>结合“打击和防范并举，治标和治本兼顾，重在治本”的综合治理工作方针，认真落实“属地管理”、“谁主管、谁负责”、“管好自己人，看好自己门，办好自己事”的原则。</w:t>
      </w:r>
      <w:r>
        <w:rPr>
          <w:rFonts w:hint="eastAsia" w:ascii="仿宋_GB2312" w:hAnsi="仿宋_GB2312" w:eastAsia="仿宋_GB2312"/>
          <w:color w:val="000000"/>
          <w:sz w:val="32"/>
        </w:rPr>
        <w:t>为华泰氯碱厂生产经营创造一个稳定的社会环境，按照上级的要求，结合我公司的实际情况，特制定本责任书。</w:t>
      </w:r>
    </w:p>
    <w:p>
      <w:pPr>
        <w:numPr>
          <w:ilvl w:val="0"/>
          <w:numId w:val="1"/>
        </w:numPr>
        <w:spacing w:line="480" w:lineRule="exact"/>
        <w:ind w:firstLine="640" w:firstLineChars="200"/>
        <w:rPr>
          <w:rFonts w:ascii="黑体" w:hAnsi="黑体" w:eastAsia="黑体"/>
          <w:sz w:val="32"/>
          <w:szCs w:val="32"/>
        </w:rPr>
      </w:pPr>
      <w:r>
        <w:rPr>
          <w:rFonts w:hint="eastAsia" w:ascii="黑体" w:hAnsi="黑体" w:eastAsia="黑体"/>
          <w:sz w:val="32"/>
          <w:szCs w:val="32"/>
        </w:rPr>
        <w:t>加强组织领导，落实工作措施。</w:t>
      </w:r>
    </w:p>
    <w:p>
      <w:pPr>
        <w:spacing w:line="480" w:lineRule="exact"/>
        <w:rPr>
          <w:rFonts w:ascii="仿宋_GB2312" w:hAnsi="华文中宋" w:eastAsia="仿宋_GB2312"/>
          <w:sz w:val="32"/>
          <w:szCs w:val="32"/>
        </w:rPr>
      </w:pPr>
      <w:r>
        <w:rPr>
          <w:rFonts w:hint="eastAsia" w:ascii="仿宋_GB2312" w:hAnsi="黑体" w:eastAsia="仿宋_GB2312"/>
          <w:sz w:val="32"/>
          <w:szCs w:val="32"/>
        </w:rPr>
        <w:t xml:space="preserve">    各承包商</w:t>
      </w:r>
      <w:r>
        <w:rPr>
          <w:rFonts w:hint="eastAsia" w:ascii="仿宋_GB2312" w:eastAsia="仿宋_GB2312"/>
          <w:sz w:val="32"/>
          <w:szCs w:val="32"/>
        </w:rPr>
        <w:t>要</w:t>
      </w:r>
      <w:r>
        <w:rPr>
          <w:rFonts w:hint="eastAsia" w:ascii="仿宋_GB2312" w:hAnsi="华文中宋" w:eastAsia="仿宋_GB2312"/>
          <w:sz w:val="32"/>
          <w:szCs w:val="32"/>
        </w:rPr>
        <w:t>切实把综治维稳和平安建设工作，作为实现社会稳定和长治久安的基础性、源头性工作，纳入</w:t>
      </w:r>
      <w:r>
        <w:rPr>
          <w:rFonts w:hint="eastAsia" w:ascii="仿宋_GB2312" w:hAnsi="仿宋_GB2312" w:eastAsia="仿宋_GB2312"/>
          <w:sz w:val="32"/>
        </w:rPr>
        <w:t>本公司</w:t>
      </w:r>
      <w:r>
        <w:rPr>
          <w:rFonts w:hint="eastAsia" w:ascii="仿宋_GB2312" w:hAnsi="华文中宋" w:eastAsia="仿宋_GB2312"/>
          <w:sz w:val="32"/>
          <w:szCs w:val="32"/>
        </w:rPr>
        <w:t>重要议事日程。各承包商主要负责人</w:t>
      </w:r>
      <w:r>
        <w:rPr>
          <w:rFonts w:hint="eastAsia" w:ascii="仿宋_GB2312" w:hAnsi="仿宋_GB2312" w:eastAsia="仿宋_GB2312"/>
          <w:sz w:val="32"/>
        </w:rPr>
        <w:t>是社会治安综合治理第一责任人，要</w:t>
      </w:r>
      <w:r>
        <w:rPr>
          <w:rFonts w:hint="eastAsia" w:ascii="仿宋_GB2312" w:hAnsi="华文中宋" w:eastAsia="仿宋_GB2312"/>
          <w:sz w:val="32"/>
          <w:szCs w:val="32"/>
        </w:rPr>
        <w:t>充分发挥系统综合协调指导职能，及时研究解决工作中存在的难点问题。</w:t>
      </w:r>
    </w:p>
    <w:p>
      <w:pPr>
        <w:numPr>
          <w:ilvl w:val="0"/>
          <w:numId w:val="1"/>
        </w:numPr>
        <w:spacing w:line="480" w:lineRule="exact"/>
        <w:ind w:firstLine="640" w:firstLineChars="200"/>
        <w:rPr>
          <w:rFonts w:ascii="黑体" w:hAnsi="黑体" w:eastAsia="黑体"/>
          <w:sz w:val="32"/>
          <w:szCs w:val="32"/>
        </w:rPr>
      </w:pPr>
      <w:r>
        <w:rPr>
          <w:rFonts w:hint="eastAsia" w:ascii="黑体" w:hAnsi="黑体" w:eastAsia="黑体"/>
          <w:sz w:val="32"/>
          <w:szCs w:val="32"/>
        </w:rPr>
        <w:t>充分发挥职能作用，着力维护社会稳定。</w:t>
      </w:r>
    </w:p>
    <w:p>
      <w:pPr>
        <w:spacing w:line="480" w:lineRule="exact"/>
        <w:rPr>
          <w:rFonts w:ascii="仿宋_GB2312" w:hAnsi="华文中宋" w:eastAsia="仿宋_GB2312"/>
          <w:sz w:val="32"/>
          <w:szCs w:val="32"/>
        </w:rPr>
      </w:pPr>
      <w:r>
        <w:rPr>
          <w:rFonts w:hint="eastAsia" w:eastAsia="仿宋_GB2312"/>
          <w:spacing w:val="-2"/>
          <w:sz w:val="32"/>
          <w:szCs w:val="32"/>
        </w:rPr>
        <w:t xml:space="preserve">    全</w:t>
      </w:r>
      <w:r>
        <w:rPr>
          <w:rFonts w:hint="eastAsia" w:ascii="仿宋_GB2312" w:hAnsi="华文中宋" w:eastAsia="仿宋_GB2312"/>
          <w:sz w:val="32"/>
          <w:szCs w:val="32"/>
        </w:rPr>
        <w:t>面贯彻落实自治区党委稳定工作会议安排部署及自治区国资委、中泰集团公司安全稳定工作要求，各承包商重点做好以下工作：一是认真履行职责，督促、指导本公司加强社会治安防控体系建设，加强员工普法教育，落实人防、物防、技防措施。二是建立矛盾纠纷排查化解机制，</w:t>
      </w:r>
      <w:r>
        <w:rPr>
          <w:rFonts w:hint="eastAsia" w:ascii="仿宋_GB2312" w:eastAsia="仿宋_GB2312"/>
          <w:sz w:val="32"/>
          <w:szCs w:val="32"/>
        </w:rPr>
        <w:t>主动了解掌握本公司职工存在的实际问题和困难，</w:t>
      </w:r>
      <w:r>
        <w:rPr>
          <w:rFonts w:hint="eastAsia" w:ascii="仿宋_GB2312" w:hAnsi="华文中宋" w:eastAsia="仿宋_GB2312"/>
          <w:sz w:val="32"/>
          <w:szCs w:val="32"/>
        </w:rPr>
        <w:t>及时处理公司内部突出信访案件，</w:t>
      </w:r>
      <w:r>
        <w:rPr>
          <w:rFonts w:hint="eastAsia" w:ascii="仿宋_GB2312" w:eastAsia="仿宋_GB2312"/>
          <w:sz w:val="32"/>
          <w:szCs w:val="32"/>
        </w:rPr>
        <w:t>引导职工依法合理表达诉求，</w:t>
      </w:r>
      <w:r>
        <w:rPr>
          <w:rFonts w:hint="eastAsia" w:ascii="仿宋_GB2312" w:hAnsi="华文中宋" w:eastAsia="仿宋_GB2312"/>
          <w:sz w:val="32"/>
          <w:szCs w:val="32"/>
        </w:rPr>
        <w:t>维护职工的合法权益，建立和谐劳动关系。三是认真贯彻落实《关于全面推进依法治疆建设法治新疆的意见》，结合实际，研究制定具体办法和措施。</w:t>
      </w:r>
    </w:p>
    <w:p>
      <w:pPr>
        <w:pStyle w:val="2"/>
        <w:numPr>
          <w:ilvl w:val="0"/>
          <w:numId w:val="1"/>
        </w:numPr>
        <w:spacing w:line="480" w:lineRule="exact"/>
        <w:ind w:firstLine="640" w:firstLineChars="200"/>
        <w:rPr>
          <w:rFonts w:ascii="黑体" w:hAnsi="黑体" w:eastAsia="黑体"/>
        </w:rPr>
      </w:pPr>
      <w:r>
        <w:rPr>
          <w:rFonts w:hint="eastAsia" w:ascii="黑体" w:hAnsi="黑体" w:eastAsia="黑体"/>
        </w:rPr>
        <w:t>积极开展平安创建活动，着力提升平安建设水平。</w:t>
      </w:r>
    </w:p>
    <w:p>
      <w:pPr>
        <w:pStyle w:val="2"/>
        <w:spacing w:line="480" w:lineRule="exact"/>
        <w:ind w:firstLine="0" w:firstLineChars="0"/>
      </w:pPr>
      <w:r>
        <w:rPr>
          <w:rFonts w:hint="eastAsia"/>
        </w:rPr>
        <w:t xml:space="preserve">    </w:t>
      </w:r>
      <w:r>
        <w:rPr>
          <w:rFonts w:hint="eastAsia" w:ascii="仿宋_GB2312" w:hAnsi="华文中宋"/>
          <w:szCs w:val="32"/>
        </w:rPr>
        <w:t>各承包商</w:t>
      </w:r>
      <w:r>
        <w:rPr>
          <w:rFonts w:hint="eastAsia"/>
        </w:rPr>
        <w:t>单位要将平安建设作为落实综治维稳和平安建设工作的重要载体，切实加强组织领导；采取有效措施积极推进平安家庭、平安公司等平安细胞创建活动。要以法治思维和法治方式推进平安建设，发挥好法治引领和保障平安建设的作用，提升平安建设法制化水平。强化平安</w:t>
      </w:r>
      <w:r>
        <w:rPr>
          <w:rFonts w:hint="eastAsia" w:ascii="Calibri" w:hAnsi="Calibri"/>
          <w:szCs w:val="22"/>
        </w:rPr>
        <w:t>宣传，</w:t>
      </w:r>
      <w:r>
        <w:rPr>
          <w:rFonts w:hint="eastAsia" w:ascii="仿宋_GB2312" w:hAnsi="仿宋_GB2312"/>
        </w:rPr>
        <w:t>充分利用黑板报、集体学习等形式，广泛深入进行宣传教育，</w:t>
      </w:r>
      <w:r>
        <w:rPr>
          <w:rFonts w:hint="eastAsia"/>
        </w:rPr>
        <w:t>让职工了解平安创建目的、意义及参与平安创建的必要性，调动职工参与积极性，</w:t>
      </w:r>
      <w:r>
        <w:rPr>
          <w:rFonts w:hint="eastAsia" w:ascii="Calibri" w:hAnsi="Calibri"/>
          <w:szCs w:val="22"/>
        </w:rPr>
        <w:t>凝聚平安新疆建设的正能量。</w:t>
      </w:r>
    </w:p>
    <w:p>
      <w:pPr>
        <w:numPr>
          <w:ilvl w:val="0"/>
          <w:numId w:val="1"/>
        </w:numPr>
        <w:spacing w:line="480" w:lineRule="exact"/>
        <w:ind w:firstLine="640" w:firstLineChars="200"/>
        <w:rPr>
          <w:rFonts w:ascii="黑体" w:hAnsi="黑体" w:eastAsia="黑体"/>
          <w:sz w:val="32"/>
          <w:szCs w:val="32"/>
        </w:rPr>
      </w:pPr>
      <w:r>
        <w:rPr>
          <w:rFonts w:hint="eastAsia" w:ascii="黑体" w:hAnsi="黑体" w:eastAsia="黑体"/>
          <w:sz w:val="32"/>
          <w:szCs w:val="32"/>
        </w:rPr>
        <w:t>认真抓好内部治安防范工作。</w:t>
      </w:r>
    </w:p>
    <w:p>
      <w:pPr>
        <w:spacing w:line="480" w:lineRule="exact"/>
        <w:ind w:firstLine="640" w:firstLineChars="200"/>
        <w:rPr>
          <w:rFonts w:ascii="仿宋_GB2312" w:hAnsi="仿宋_GB2312" w:eastAsia="仿宋_GB2312"/>
          <w:sz w:val="32"/>
        </w:rPr>
      </w:pPr>
      <w:r>
        <w:rPr>
          <w:rFonts w:hint="eastAsia" w:ascii="仿宋_GB2312" w:hAnsi="华文中宋" w:eastAsia="仿宋_GB2312"/>
          <w:sz w:val="32"/>
          <w:szCs w:val="32"/>
        </w:rPr>
        <w:t>各承包商单位认真抓好内部系统治安防范工作，扎实做好节假日及重要敏感节点期间的值班和安全防范工作。按照属地管理的原则，严格加强华泰氯碱厂属地内的员工管理，确保不发生刑事案件，不发生偷盗华泰氯碱厂物资事件；加强“一反两讲”宣传教育，有效防止公司干部、职工及其直系家属参与非法宗教活动和宗教极端等各类违法犯罪活动。</w:t>
      </w:r>
      <w:r>
        <w:rPr>
          <w:rFonts w:hint="eastAsia" w:ascii="仿宋_GB2312" w:hAnsi="仿宋_GB2312" w:eastAsia="仿宋_GB2312"/>
          <w:sz w:val="32"/>
        </w:rPr>
        <w:t>加强对职工、家属、子女的普法教育，</w:t>
      </w:r>
      <w:r>
        <w:rPr>
          <w:rFonts w:hint="eastAsia" w:ascii="仿宋_GB2312" w:hAnsi="华文中宋" w:eastAsia="仿宋_GB2312"/>
          <w:sz w:val="32"/>
          <w:szCs w:val="32"/>
        </w:rPr>
        <w:t>强化本公司系统干部职工出租房屋管理责任。</w:t>
      </w:r>
      <w:r>
        <w:rPr>
          <w:rFonts w:hint="eastAsia" w:ascii="仿宋_GB2312" w:hAnsi="仿宋_GB2312" w:eastAsia="仿宋_GB2312"/>
          <w:sz w:val="32"/>
        </w:rPr>
        <w:t>认真开展四无（无重大刑事案件、无民转刑案件、无重大治安灾害案件、无内部人员犯罪）为重点的创建活动。</w:t>
      </w:r>
    </w:p>
    <w:p>
      <w:pPr>
        <w:spacing w:line="480" w:lineRule="exact"/>
        <w:ind w:firstLine="640" w:firstLineChars="200"/>
        <w:rPr>
          <w:rFonts w:ascii="黑体" w:hAnsi="华文中宋" w:eastAsia="黑体"/>
          <w:sz w:val="32"/>
          <w:szCs w:val="32"/>
        </w:rPr>
      </w:pPr>
      <w:r>
        <w:rPr>
          <w:rFonts w:hint="eastAsia" w:ascii="黑体" w:hAnsi="黑体" w:eastAsia="黑体"/>
          <w:sz w:val="32"/>
          <w:szCs w:val="32"/>
        </w:rPr>
        <w:t>五、加强</w:t>
      </w:r>
      <w:r>
        <w:rPr>
          <w:rFonts w:hint="eastAsia" w:ascii="黑体" w:hAnsi="宋体" w:eastAsia="黑体"/>
          <w:sz w:val="32"/>
          <w:szCs w:val="32"/>
        </w:rPr>
        <w:t>综治维稳和平安建设管理</w:t>
      </w:r>
      <w:r>
        <w:rPr>
          <w:rFonts w:hint="eastAsia" w:ascii="黑体" w:hAnsi="华文中宋" w:eastAsia="黑体"/>
          <w:sz w:val="32"/>
          <w:szCs w:val="32"/>
        </w:rPr>
        <w:t>。</w:t>
      </w:r>
    </w:p>
    <w:p>
      <w:pPr>
        <w:spacing w:line="480" w:lineRule="exact"/>
        <w:ind w:firstLine="640" w:firstLineChars="200"/>
        <w:rPr>
          <w:rFonts w:ascii="仿宋_GB2312" w:hAnsi="仿宋_GB2312" w:eastAsia="仿宋_GB2312"/>
          <w:sz w:val="32"/>
        </w:rPr>
      </w:pPr>
      <w:r>
        <w:rPr>
          <w:rFonts w:hint="eastAsia" w:ascii="仿宋_GB2312" w:hAnsi="仿宋_GB2312" w:eastAsia="仿宋_GB2312"/>
          <w:sz w:val="32"/>
        </w:rPr>
        <w:t>（一）加强员工队伍的管理，外来人员登记率和领证率（外来人员办理居住证）必须达百分之百，控制外来人员的违法犯罪事件发生。</w:t>
      </w:r>
    </w:p>
    <w:p>
      <w:pPr>
        <w:spacing w:line="480" w:lineRule="exact"/>
        <w:ind w:firstLine="640" w:firstLineChars="200"/>
        <w:rPr>
          <w:rFonts w:ascii="仿宋_GB2312" w:hAnsi="仿宋_GB2312" w:eastAsia="仿宋_GB2312"/>
          <w:sz w:val="32"/>
        </w:rPr>
      </w:pPr>
      <w:r>
        <w:rPr>
          <w:rFonts w:hint="eastAsia" w:ascii="仿宋_GB2312" w:hAnsi="仿宋_GB2312" w:eastAsia="仿宋_GB2312"/>
          <w:sz w:val="32"/>
        </w:rPr>
        <w:t>（二）充分利用黑板报、通讯报道、集体学习等形式，广泛深入进行宣传教育，不断提高职工自觉维护治安稳定的自觉性。</w:t>
      </w:r>
    </w:p>
    <w:p>
      <w:pPr>
        <w:spacing w:line="480" w:lineRule="exact"/>
        <w:rPr>
          <w:rFonts w:ascii="仿宋_GB2312" w:hAnsi="仿宋_GB2312" w:eastAsia="仿宋_GB2312"/>
          <w:sz w:val="32"/>
        </w:rPr>
      </w:pPr>
      <w:r>
        <w:rPr>
          <w:rFonts w:hint="eastAsia" w:ascii="仿宋_GB2312" w:hAnsi="仿宋_GB2312" w:eastAsia="仿宋_GB2312"/>
          <w:sz w:val="32"/>
        </w:rPr>
        <w:t xml:space="preserve">    （四）积极做好内部调解工作，防止矛盾激化。</w:t>
      </w:r>
    </w:p>
    <w:p>
      <w:pPr>
        <w:spacing w:line="480" w:lineRule="exact"/>
        <w:rPr>
          <w:rFonts w:ascii="仿宋_GB2312" w:hAnsi="仿宋_GB2312" w:eastAsia="仿宋_GB2312"/>
          <w:sz w:val="32"/>
        </w:rPr>
      </w:pPr>
      <w:r>
        <w:rPr>
          <w:rFonts w:hint="eastAsia" w:ascii="仿宋_GB2312" w:hAnsi="仿宋_GB2312" w:eastAsia="仿宋_GB2312"/>
          <w:sz w:val="32"/>
        </w:rPr>
        <w:t xml:space="preserve">    （五）杜绝特大、重大治安案件发生，保证年度不出现重大刑事案件。</w:t>
      </w:r>
    </w:p>
    <w:p>
      <w:pPr>
        <w:spacing w:line="480" w:lineRule="exact"/>
        <w:rPr>
          <w:rFonts w:ascii="仿宋_GB2312" w:hAnsi="仿宋_GB2312" w:eastAsia="仿宋_GB2312"/>
          <w:sz w:val="32"/>
        </w:rPr>
      </w:pPr>
      <w:r>
        <w:rPr>
          <w:rFonts w:hint="eastAsia" w:ascii="仿宋_GB2312" w:hAnsi="仿宋_GB2312" w:eastAsia="仿宋_GB2312"/>
          <w:sz w:val="32"/>
        </w:rPr>
        <w:t xml:space="preserve">    （六）强化管理，依法管理，依法办事，防止违法违纪案件的发生，杜绝偷盗案件的发生。</w:t>
      </w:r>
    </w:p>
    <w:p>
      <w:pPr>
        <w:spacing w:line="480" w:lineRule="exact"/>
        <w:ind w:firstLine="630"/>
        <w:rPr>
          <w:rFonts w:ascii="仿宋_GB2312" w:hAnsi="仿宋_GB2312" w:eastAsia="仿宋_GB2312"/>
          <w:sz w:val="32"/>
        </w:rPr>
      </w:pPr>
      <w:r>
        <w:rPr>
          <w:rFonts w:hint="eastAsia" w:ascii="仿宋_GB2312" w:hAnsi="仿宋_GB2312" w:eastAsia="仿宋_GB2312"/>
          <w:sz w:val="32"/>
        </w:rPr>
        <w:t>（七）强化员工防火意识，培养员工基本防火处置方法。</w:t>
      </w:r>
    </w:p>
    <w:p>
      <w:pPr>
        <w:spacing w:line="480" w:lineRule="exact"/>
        <w:ind w:firstLine="630"/>
        <w:rPr>
          <w:rFonts w:ascii="仿宋_GB2312" w:hAnsi="仿宋_GB2312" w:eastAsia="仿宋_GB2312"/>
          <w:sz w:val="32"/>
        </w:rPr>
      </w:pPr>
      <w:r>
        <w:rPr>
          <w:rFonts w:hint="eastAsia" w:ascii="仿宋_GB2312" w:hAnsi="仿宋_GB2312" w:eastAsia="仿宋_GB2312"/>
          <w:sz w:val="32"/>
        </w:rPr>
        <w:t>（八）加强员工管理，严禁发生辱骂、不服从值班警卫管理事件。</w:t>
      </w:r>
    </w:p>
    <w:p>
      <w:pPr>
        <w:spacing w:line="480" w:lineRule="exact"/>
        <w:ind w:firstLine="630"/>
        <w:rPr>
          <w:rFonts w:ascii="仿宋_GB2312" w:hAnsi="仿宋_GB2312" w:eastAsia="仿宋_GB2312"/>
          <w:sz w:val="32"/>
        </w:rPr>
      </w:pPr>
      <w:r>
        <w:rPr>
          <w:rFonts w:hint="eastAsia" w:ascii="仿宋_GB2312" w:hAnsi="仿宋_GB2312" w:eastAsia="仿宋_GB2312"/>
          <w:sz w:val="32"/>
        </w:rPr>
        <w:t>（九）遵守华泰氯碱厂交通安全管理规定。</w:t>
      </w:r>
    </w:p>
    <w:p>
      <w:pPr>
        <w:spacing w:line="480" w:lineRule="exact"/>
        <w:ind w:firstLine="480" w:firstLineChars="150"/>
        <w:rPr>
          <w:rFonts w:ascii="仿宋_GB2312" w:hAnsi="宋体" w:eastAsia="仿宋_GB2312"/>
          <w:sz w:val="32"/>
          <w:szCs w:val="32"/>
        </w:rPr>
      </w:pPr>
      <w:r>
        <w:rPr>
          <w:rFonts w:hint="eastAsia" w:ascii="仿宋_GB2312" w:hAnsi="宋体" w:eastAsia="仿宋_GB2312"/>
          <w:sz w:val="32"/>
          <w:szCs w:val="32"/>
        </w:rPr>
        <w:t xml:space="preserve"> （十）严格遵守华泰氯碱厂制定的各项安全管理规定。</w:t>
      </w:r>
    </w:p>
    <w:p>
      <w:pPr>
        <w:ind w:firstLine="640" w:firstLineChars="200"/>
        <w:rPr>
          <w:rFonts w:ascii="黑体" w:hAnsi="仿宋_GB2312" w:eastAsia="黑体"/>
          <w:sz w:val="32"/>
        </w:rPr>
      </w:pPr>
      <w:r>
        <w:rPr>
          <w:rFonts w:hint="eastAsia" w:ascii="黑体" w:hAnsi="仿宋_GB2312" w:eastAsia="黑体"/>
          <w:sz w:val="32"/>
        </w:rPr>
        <w:t>六、年度工作目标与任务</w:t>
      </w:r>
    </w:p>
    <w:p>
      <w:pPr>
        <w:spacing w:line="480" w:lineRule="exact"/>
        <w:ind w:firstLine="640" w:firstLineChars="200"/>
        <w:rPr>
          <w:rFonts w:ascii="黑体" w:hAnsi="仿宋_GB2312" w:eastAsia="黑体"/>
          <w:sz w:val="32"/>
        </w:rPr>
      </w:pPr>
      <w:r>
        <w:rPr>
          <w:rFonts w:hint="eastAsia" w:ascii="仿宋_GB2312" w:hAnsi="仿宋_GB2312" w:eastAsia="仿宋_GB2312"/>
          <w:sz w:val="32"/>
        </w:rPr>
        <w:t>（一）保证内部干部职工无一人犯罪。</w:t>
      </w:r>
    </w:p>
    <w:p>
      <w:pPr>
        <w:spacing w:line="480" w:lineRule="exact"/>
        <w:ind w:firstLine="640" w:firstLineChars="200"/>
        <w:rPr>
          <w:rFonts w:ascii="仿宋_GB2312" w:hAnsi="仿宋_GB2312" w:eastAsia="仿宋_GB2312"/>
          <w:sz w:val="32"/>
        </w:rPr>
      </w:pPr>
      <w:r>
        <w:rPr>
          <w:rFonts w:hint="eastAsia" w:ascii="仿宋_GB2312" w:hAnsi="仿宋_GB2312" w:eastAsia="仿宋_GB2312"/>
          <w:sz w:val="32"/>
        </w:rPr>
        <w:t>（二）防止违法违纪案件的发生。杜绝特大、重大治安案件发生，保证公司年度不出现重大刑事案件。</w:t>
      </w:r>
    </w:p>
    <w:p>
      <w:pPr>
        <w:spacing w:line="480" w:lineRule="exact"/>
        <w:ind w:firstLine="640" w:firstLineChars="200"/>
        <w:rPr>
          <w:rFonts w:ascii="仿宋_GB2312" w:hAnsi="仿宋_GB2312" w:eastAsia="仿宋_GB2312"/>
          <w:sz w:val="32"/>
        </w:rPr>
      </w:pPr>
      <w:r>
        <w:rPr>
          <w:rFonts w:hint="eastAsia" w:ascii="仿宋_GB2312" w:hAnsi="仿宋_GB2312" w:eastAsia="仿宋_GB2312"/>
          <w:sz w:val="32"/>
        </w:rPr>
        <w:t>（三）严禁酗酒闹事，打架斗殴等治安事件的发生。严禁随意克扣员工工资，造成员工集体闹事事件的发生。</w:t>
      </w:r>
    </w:p>
    <w:p>
      <w:pPr>
        <w:spacing w:line="480" w:lineRule="exact"/>
        <w:ind w:firstLine="640" w:firstLineChars="200"/>
        <w:rPr>
          <w:rFonts w:ascii="仿宋_GB2312" w:hAnsi="仿宋_GB2312" w:eastAsia="仿宋_GB2312"/>
          <w:sz w:val="32"/>
        </w:rPr>
      </w:pPr>
      <w:r>
        <w:rPr>
          <w:rFonts w:hint="eastAsia" w:ascii="仿宋_GB2312" w:hAnsi="仿宋_GB2312" w:eastAsia="仿宋_GB2312"/>
          <w:sz w:val="32"/>
        </w:rPr>
        <w:t>（四）严禁发生偷盗、损坏华泰氯碱厂物资的事件。</w:t>
      </w:r>
    </w:p>
    <w:p>
      <w:pPr>
        <w:spacing w:line="480" w:lineRule="exact"/>
        <w:ind w:firstLine="640" w:firstLineChars="200"/>
        <w:rPr>
          <w:rFonts w:ascii="仿宋_GB2312" w:hAnsi="仿宋_GB2312" w:eastAsia="仿宋_GB2312"/>
          <w:sz w:val="32"/>
        </w:rPr>
      </w:pPr>
      <w:r>
        <w:rPr>
          <w:rFonts w:hint="eastAsia" w:ascii="仿宋_GB2312" w:hAnsi="仿宋_GB2312" w:eastAsia="仿宋_GB2312"/>
          <w:sz w:val="32"/>
        </w:rPr>
        <w:t>（五）强化管理，杜绝在华泰氯碱厂管辖范围内出现内盗和被盗案件发生。</w:t>
      </w:r>
    </w:p>
    <w:p>
      <w:pPr>
        <w:spacing w:line="480" w:lineRule="exact"/>
        <w:ind w:firstLine="640" w:firstLineChars="200"/>
        <w:rPr>
          <w:rFonts w:ascii="仿宋_GB2312" w:hAnsi="仿宋_GB2312" w:eastAsia="仿宋_GB2312"/>
          <w:sz w:val="32"/>
        </w:rPr>
      </w:pPr>
      <w:r>
        <w:rPr>
          <w:rFonts w:hint="eastAsia" w:ascii="仿宋_GB2312" w:hAnsi="仿宋_GB2312" w:eastAsia="仿宋_GB2312"/>
          <w:sz w:val="32"/>
        </w:rPr>
        <w:t>（六）</w:t>
      </w:r>
      <w:r>
        <w:rPr>
          <w:rFonts w:hint="eastAsia" w:ascii="仿宋_GB2312" w:hAnsi="宋体" w:eastAsia="仿宋_GB2312"/>
          <w:sz w:val="32"/>
          <w:szCs w:val="32"/>
        </w:rPr>
        <w:t>依照华泰氯碱厂施工区域安全管理规定进行施工，严禁发生违反安全管理规定的事件。</w:t>
      </w:r>
    </w:p>
    <w:p>
      <w:pPr>
        <w:spacing w:line="480" w:lineRule="exact"/>
        <w:ind w:firstLine="640" w:firstLineChars="200"/>
        <w:rPr>
          <w:rFonts w:ascii="仿宋_GB2312" w:hAnsi="宋体" w:eastAsia="仿宋_GB2312"/>
          <w:sz w:val="32"/>
          <w:szCs w:val="32"/>
        </w:rPr>
      </w:pPr>
      <w:r>
        <w:rPr>
          <w:rFonts w:hint="eastAsia" w:ascii="仿宋_GB2312" w:hAnsi="仿宋_GB2312" w:eastAsia="仿宋_GB2312"/>
          <w:sz w:val="32"/>
        </w:rPr>
        <w:t>（七）保证年度内无重大人员伤亡事故。</w:t>
      </w:r>
    </w:p>
    <w:p>
      <w:pPr>
        <w:spacing w:line="480" w:lineRule="exact"/>
        <w:ind w:firstLine="640" w:firstLineChars="200"/>
        <w:rPr>
          <w:rFonts w:ascii="黑体" w:hAnsi="仿宋_GB2312" w:eastAsia="黑体"/>
          <w:sz w:val="32"/>
        </w:rPr>
      </w:pPr>
      <w:r>
        <w:rPr>
          <w:rFonts w:hint="eastAsia" w:ascii="黑体" w:hAnsi="仿宋_GB2312" w:eastAsia="黑体"/>
          <w:sz w:val="32"/>
        </w:rPr>
        <w:t>七、奖罚规定</w:t>
      </w:r>
    </w:p>
    <w:p>
      <w:pPr>
        <w:spacing w:line="480" w:lineRule="exact"/>
        <w:ind w:firstLine="640" w:firstLineChars="200"/>
        <w:rPr>
          <w:rFonts w:ascii="仿宋_GB2312" w:hAnsi="仿宋_GB2312" w:eastAsia="仿宋_GB2312"/>
          <w:sz w:val="32"/>
        </w:rPr>
      </w:pPr>
      <w:r>
        <w:rPr>
          <w:rFonts w:hint="eastAsia" w:ascii="仿宋_GB2312" w:hAnsi="仿宋_GB2312" w:eastAsia="仿宋_GB2312"/>
          <w:sz w:val="32"/>
        </w:rPr>
        <w:t>（一）本责任书实施列入责任人的工作目标，作为年底承包商考核、奖罚重要依据之一。</w:t>
      </w:r>
    </w:p>
    <w:p>
      <w:pPr>
        <w:spacing w:line="480" w:lineRule="exact"/>
        <w:ind w:firstLine="640" w:firstLineChars="200"/>
        <w:rPr>
          <w:rFonts w:ascii="仿宋_GB2312" w:hAnsi="仿宋_GB2312" w:eastAsia="仿宋_GB2312"/>
          <w:sz w:val="32"/>
        </w:rPr>
      </w:pPr>
      <w:r>
        <w:rPr>
          <w:rFonts w:hint="eastAsia" w:ascii="仿宋_GB2312" w:hAnsi="仿宋_GB2312" w:eastAsia="仿宋_GB2312"/>
          <w:sz w:val="32"/>
          <w:szCs w:val="32"/>
        </w:rPr>
        <w:t>（二）对在</w:t>
      </w:r>
      <w:r>
        <w:rPr>
          <w:rFonts w:hint="eastAsia" w:ascii="仿宋_GB2312" w:hAnsi="宋体" w:eastAsia="仿宋_GB2312"/>
          <w:sz w:val="32"/>
          <w:szCs w:val="32"/>
        </w:rPr>
        <w:t>综治维稳和平安建设</w:t>
      </w:r>
      <w:r>
        <w:rPr>
          <w:rFonts w:hint="eastAsia" w:ascii="仿宋_GB2312" w:hAnsi="仿宋_GB2312" w:eastAsia="仿宋_GB2312"/>
          <w:sz w:val="32"/>
        </w:rPr>
        <w:t>中做出突出贡献的</w:t>
      </w:r>
      <w:r>
        <w:rPr>
          <w:rFonts w:hint="eastAsia" w:ascii="仿宋_GB2312" w:hAnsi="宋体" w:eastAsia="仿宋_GB2312"/>
          <w:sz w:val="32"/>
          <w:szCs w:val="32"/>
        </w:rPr>
        <w:t>责</w:t>
      </w:r>
      <w:r>
        <w:rPr>
          <w:rFonts w:hint="eastAsia" w:ascii="仿宋_GB2312" w:hAnsi="仿宋_GB2312" w:eastAsia="仿宋_GB2312"/>
          <w:sz w:val="32"/>
          <w:szCs w:val="32"/>
        </w:rPr>
        <w:t>任人</w:t>
      </w:r>
      <w:r>
        <w:rPr>
          <w:rFonts w:hint="eastAsia" w:ascii="仿宋_GB2312" w:hAnsi="仿宋_GB2312" w:eastAsia="仿宋_GB2312"/>
          <w:sz w:val="32"/>
        </w:rPr>
        <w:t>和承包商给予奖励。</w:t>
      </w:r>
    </w:p>
    <w:p>
      <w:pPr>
        <w:spacing w:line="480" w:lineRule="exact"/>
        <w:ind w:firstLine="640" w:firstLineChars="200"/>
        <w:rPr>
          <w:rFonts w:ascii="仿宋_GB2312" w:hAnsi="仿宋_GB2312" w:eastAsia="仿宋_GB2312"/>
          <w:sz w:val="32"/>
        </w:rPr>
      </w:pPr>
      <w:r>
        <w:rPr>
          <w:rFonts w:hint="eastAsia" w:ascii="仿宋_GB2312" w:hAnsi="宋体" w:eastAsia="仿宋_GB2312"/>
          <w:sz w:val="32"/>
          <w:szCs w:val="32"/>
        </w:rPr>
        <w:t>（三）</w:t>
      </w:r>
      <w:r>
        <w:rPr>
          <w:rFonts w:hint="eastAsia" w:ascii="仿宋_GB2312" w:hAnsi="仿宋_GB2312" w:eastAsia="仿宋_GB2312"/>
          <w:sz w:val="32"/>
        </w:rPr>
        <w:t>发生违法违纪案（事）件，按华泰氯碱厂有关规定追究当事人及相关承包商的责任，并对当事人和承包商进行处罚。</w:t>
      </w:r>
    </w:p>
    <w:p>
      <w:pPr>
        <w:numPr>
          <w:ilvl w:val="0"/>
          <w:numId w:val="2"/>
        </w:numPr>
        <w:spacing w:line="480" w:lineRule="exact"/>
        <w:ind w:firstLine="640" w:firstLineChars="200"/>
        <w:rPr>
          <w:rFonts w:ascii="仿宋_GB2312" w:hAnsi="仿宋_GB2312" w:eastAsia="仿宋_GB2312" w:cs="Arial"/>
          <w:kern w:val="0"/>
          <w:sz w:val="32"/>
          <w:szCs w:val="21"/>
        </w:rPr>
      </w:pPr>
      <w:r>
        <w:rPr>
          <w:rFonts w:hint="eastAsia" w:ascii="仿宋_GB2312" w:hAnsi="宋体" w:eastAsia="仿宋_GB2312"/>
          <w:sz w:val="32"/>
          <w:szCs w:val="32"/>
        </w:rPr>
        <w:t>综治维稳和平安建设</w:t>
      </w:r>
      <w:r>
        <w:rPr>
          <w:rFonts w:hint="eastAsia" w:ascii="仿宋_GB2312" w:hAnsi="仿宋_GB2312" w:eastAsia="仿宋_GB2312" w:cs="Arial"/>
          <w:kern w:val="0"/>
          <w:sz w:val="32"/>
          <w:szCs w:val="21"/>
        </w:rPr>
        <w:t>工作列入承包商年度考评内容，实行一票否决权制。</w:t>
      </w:r>
    </w:p>
    <w:p>
      <w:pPr>
        <w:numPr>
          <w:ilvl w:val="0"/>
          <w:numId w:val="2"/>
        </w:numPr>
        <w:spacing w:line="480" w:lineRule="exact"/>
        <w:ind w:firstLine="640" w:firstLineChars="200"/>
        <w:rPr>
          <w:rFonts w:ascii="黑体" w:hAnsi="黑体" w:eastAsia="黑体" w:cs="黑体"/>
          <w:sz w:val="32"/>
        </w:rPr>
      </w:pPr>
      <w:r>
        <w:rPr>
          <w:rFonts w:hint="eastAsia" w:ascii="黑体" w:hAnsi="黑体" w:eastAsia="黑体" w:cs="黑体"/>
          <w:sz w:val="32"/>
        </w:rPr>
        <w:t>八、其他</w:t>
      </w:r>
    </w:p>
    <w:p>
      <w:pPr>
        <w:spacing w:line="480" w:lineRule="exact"/>
        <w:ind w:firstLine="640" w:firstLineChars="200"/>
        <w:jc w:val="left"/>
        <w:rPr>
          <w:rFonts w:ascii="仿宋_GB2312" w:hAnsi="华文中宋" w:eastAsia="仿宋_GB2312"/>
          <w:color w:val="000000"/>
          <w:sz w:val="32"/>
          <w:szCs w:val="32"/>
        </w:rPr>
      </w:pPr>
      <w:r>
        <w:rPr>
          <w:rFonts w:hint="eastAsia" w:ascii="仿宋_GB2312" w:hAnsi="华文中宋" w:eastAsia="仿宋_GB2312"/>
          <w:color w:val="000000"/>
          <w:sz w:val="32"/>
          <w:szCs w:val="32"/>
        </w:rPr>
        <w:t>（一）本责任书自签字之日起生效，有效期一年。</w:t>
      </w:r>
    </w:p>
    <w:p>
      <w:pPr>
        <w:spacing w:line="480" w:lineRule="exact"/>
        <w:ind w:firstLine="640" w:firstLineChars="200"/>
        <w:jc w:val="left"/>
        <w:rPr>
          <w:rFonts w:ascii="仿宋_GB2312" w:hAnsi="华文中宋" w:eastAsia="仿宋_GB2312"/>
          <w:color w:val="000000"/>
          <w:sz w:val="32"/>
          <w:szCs w:val="32"/>
        </w:rPr>
      </w:pPr>
      <w:r>
        <w:rPr>
          <w:rFonts w:hint="eastAsia" w:ascii="仿宋_GB2312" w:hAnsi="华文中宋" w:eastAsia="仿宋_GB2312"/>
          <w:color w:val="000000"/>
          <w:sz w:val="32"/>
          <w:szCs w:val="32"/>
        </w:rPr>
        <w:t>（二）本责任书一式三份，甲乙双方各执一份。</w:t>
      </w:r>
    </w:p>
    <w:p>
      <w:pPr>
        <w:spacing w:line="480" w:lineRule="exact"/>
        <w:jc w:val="left"/>
        <w:rPr>
          <w:rFonts w:ascii="仿宋_GB2312" w:hAnsi="华文中宋" w:eastAsia="仿宋_GB2312"/>
          <w:sz w:val="32"/>
          <w:szCs w:val="32"/>
        </w:rPr>
      </w:pPr>
    </w:p>
    <w:p>
      <w:pPr>
        <w:spacing w:line="480" w:lineRule="exact"/>
        <w:jc w:val="left"/>
        <w:rPr>
          <w:rFonts w:ascii="仿宋_GB2312" w:hAnsi="华文中宋" w:eastAsia="仿宋_GB2312"/>
          <w:sz w:val="32"/>
          <w:szCs w:val="32"/>
        </w:rPr>
      </w:pPr>
    </w:p>
    <w:p>
      <w:pPr>
        <w:spacing w:line="480" w:lineRule="exact"/>
        <w:jc w:val="left"/>
        <w:rPr>
          <w:rFonts w:ascii="仿宋_GB2312" w:hAnsi="华文中宋" w:eastAsia="仿宋_GB2312"/>
          <w:sz w:val="32"/>
          <w:szCs w:val="32"/>
        </w:rPr>
      </w:pPr>
    </w:p>
    <w:p>
      <w:pPr>
        <w:spacing w:line="480" w:lineRule="exact"/>
        <w:jc w:val="left"/>
        <w:rPr>
          <w:rFonts w:ascii="仿宋_GB2312" w:hAnsi="华文中宋" w:eastAsia="仿宋_GB2312"/>
          <w:sz w:val="32"/>
          <w:szCs w:val="32"/>
        </w:rPr>
      </w:pPr>
    </w:p>
    <w:p>
      <w:pPr>
        <w:spacing w:line="480" w:lineRule="exact"/>
        <w:jc w:val="left"/>
        <w:rPr>
          <w:rFonts w:ascii="仿宋_GB2312" w:hAnsi="华文中宋" w:eastAsia="仿宋_GB2312"/>
          <w:sz w:val="32"/>
          <w:szCs w:val="32"/>
        </w:rPr>
      </w:pPr>
    </w:p>
    <w:p>
      <w:pPr>
        <w:spacing w:line="480" w:lineRule="exact"/>
        <w:jc w:val="left"/>
        <w:rPr>
          <w:rFonts w:ascii="仿宋_GB2312" w:hAnsi="华文中宋" w:eastAsia="仿宋_GB2312"/>
          <w:sz w:val="32"/>
          <w:szCs w:val="32"/>
        </w:rPr>
      </w:pPr>
    </w:p>
    <w:p>
      <w:pPr>
        <w:spacing w:line="480" w:lineRule="exact"/>
        <w:ind w:left="1920" w:hanging="1920" w:hangingChars="600"/>
        <w:jc w:val="left"/>
        <w:rPr>
          <w:rFonts w:ascii="仿宋_GB2312" w:hAnsi="华文中宋" w:eastAsia="仿宋_GB2312"/>
          <w:color w:val="000000"/>
          <w:sz w:val="32"/>
          <w:szCs w:val="32"/>
        </w:rPr>
      </w:pPr>
      <w:r>
        <w:rPr>
          <w:rFonts w:hint="eastAsia" w:ascii="仿宋_GB2312" w:hAnsi="华文中宋" w:eastAsia="仿宋_GB2312"/>
          <w:color w:val="000000"/>
          <w:sz w:val="32"/>
          <w:szCs w:val="32"/>
        </w:rPr>
        <w:t>甲方负责人：新疆华泰重化工  乙方负责人：北京三汇能环科有限责任公司</w:t>
      </w:r>
      <w:r>
        <w:rPr>
          <w:rFonts w:hint="eastAsia" w:ascii="仿宋_GB2312" w:hAnsi="华文中宋" w:eastAsia="仿宋_GB2312"/>
          <w:color w:val="000000"/>
          <w:sz w:val="32"/>
          <w:szCs w:val="32"/>
          <w:lang w:val="en-US" w:eastAsia="zh-CN"/>
        </w:rPr>
        <w:t xml:space="preserve">               </w:t>
      </w:r>
      <w:bookmarkStart w:id="0" w:name="_GoBack"/>
      <w:bookmarkEnd w:id="0"/>
      <w:r>
        <w:rPr>
          <w:rFonts w:hint="eastAsia" w:ascii="仿宋_GB2312" w:hAnsi="华文中宋" w:eastAsia="仿宋_GB2312"/>
          <w:color w:val="000000"/>
          <w:sz w:val="32"/>
          <w:szCs w:val="32"/>
        </w:rPr>
        <w:t>技发展有限公司</w:t>
      </w:r>
    </w:p>
    <w:p>
      <w:pPr>
        <w:spacing w:line="480" w:lineRule="exact"/>
        <w:jc w:val="left"/>
        <w:rPr>
          <w:rFonts w:ascii="仿宋_GB2312" w:hAnsi="华文中宋" w:eastAsia="仿宋_GB2312"/>
          <w:sz w:val="32"/>
          <w:szCs w:val="32"/>
        </w:rPr>
      </w:pPr>
      <w:r>
        <w:rPr>
          <w:rFonts w:hint="eastAsia" w:ascii="仿宋_GB2312" w:hAnsi="华文中宋" w:eastAsia="仿宋_GB2312"/>
          <w:sz w:val="32"/>
          <w:szCs w:val="32"/>
        </w:rPr>
        <w:t xml:space="preserve">                                   </w:t>
      </w:r>
    </w:p>
    <w:p>
      <w:pPr>
        <w:spacing w:line="480" w:lineRule="exact"/>
        <w:ind w:firstLine="4270" w:firstLineChars="1525"/>
        <w:jc w:val="left"/>
        <w:rPr>
          <w:rFonts w:ascii="仿宋_GB2312" w:hAnsi="华文中宋" w:eastAsia="仿宋_GB2312"/>
          <w:spacing w:val="-20"/>
          <w:sz w:val="32"/>
          <w:szCs w:val="32"/>
        </w:rPr>
      </w:pPr>
    </w:p>
    <w:p>
      <w:pPr>
        <w:spacing w:line="480" w:lineRule="exact"/>
        <w:rPr>
          <w:rFonts w:ascii="仿宋_GB2312" w:hAnsi="华文中宋" w:eastAsia="仿宋_GB2312"/>
          <w:sz w:val="32"/>
          <w:szCs w:val="32"/>
        </w:rPr>
      </w:pPr>
    </w:p>
    <w:p>
      <w:pPr>
        <w:spacing w:line="480" w:lineRule="exact"/>
        <w:ind w:firstLine="800" w:firstLineChars="250"/>
      </w:pPr>
      <w:r>
        <w:rPr>
          <w:rFonts w:ascii="仿宋_GB2312" w:hAnsi="华文中宋" w:eastAsia="仿宋_GB2312"/>
          <w:sz w:val="32"/>
          <w:szCs w:val="32"/>
        </w:rPr>
        <w:t>202</w:t>
      </w:r>
      <w:r>
        <w:rPr>
          <w:rFonts w:hint="eastAsia" w:ascii="仿宋_GB2312" w:hAnsi="华文中宋" w:eastAsia="仿宋_GB2312"/>
          <w:sz w:val="32"/>
          <w:szCs w:val="32"/>
          <w:lang w:val="en-US" w:eastAsia="zh-CN"/>
        </w:rPr>
        <w:t>1</w:t>
      </w:r>
      <w:r>
        <w:rPr>
          <w:rFonts w:ascii="仿宋_GB2312" w:hAnsi="华文中宋" w:eastAsia="仿宋_GB2312"/>
          <w:sz w:val="32"/>
          <w:szCs w:val="32"/>
        </w:rPr>
        <w:t>年</w:t>
      </w:r>
      <w:r>
        <w:rPr>
          <w:rFonts w:hint="eastAsia" w:ascii="仿宋_GB2312" w:hAnsi="华文中宋" w:eastAsia="仿宋_GB2312"/>
          <w:sz w:val="32"/>
          <w:szCs w:val="32"/>
        </w:rPr>
        <w:t xml:space="preserve">   </w:t>
      </w:r>
      <w:r>
        <w:rPr>
          <w:rFonts w:ascii="仿宋_GB2312" w:hAnsi="华文中宋" w:eastAsia="仿宋_GB2312"/>
          <w:sz w:val="32"/>
          <w:szCs w:val="32"/>
        </w:rPr>
        <w:t>月</w:t>
      </w:r>
      <w:r>
        <w:rPr>
          <w:rFonts w:hint="eastAsia" w:ascii="仿宋_GB2312" w:hAnsi="华文中宋" w:eastAsia="仿宋_GB2312"/>
          <w:sz w:val="32"/>
          <w:szCs w:val="32"/>
        </w:rPr>
        <w:t xml:space="preserve">   </w:t>
      </w:r>
      <w:r>
        <w:rPr>
          <w:rFonts w:ascii="仿宋_GB2312" w:hAnsi="华文中宋" w:eastAsia="仿宋_GB2312"/>
          <w:sz w:val="32"/>
          <w:szCs w:val="32"/>
        </w:rPr>
        <w:t>日</w:t>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ab/>
      </w:r>
      <w:r>
        <w:rPr>
          <w:rFonts w:hint="eastAsia" w:ascii="仿宋_GB2312" w:hAnsi="华文中宋" w:eastAsia="仿宋_GB2312"/>
          <w:sz w:val="32"/>
          <w:szCs w:val="32"/>
        </w:rPr>
        <w:t xml:space="preserve">  </w:t>
      </w:r>
      <w:r>
        <w:rPr>
          <w:rFonts w:ascii="仿宋_GB2312" w:hAnsi="华文中宋" w:eastAsia="仿宋_GB2312"/>
          <w:sz w:val="32"/>
          <w:szCs w:val="32"/>
        </w:rPr>
        <w:t>202</w:t>
      </w:r>
      <w:r>
        <w:rPr>
          <w:rFonts w:hint="eastAsia" w:ascii="仿宋_GB2312" w:hAnsi="华文中宋" w:eastAsia="仿宋_GB2312"/>
          <w:sz w:val="32"/>
          <w:szCs w:val="32"/>
          <w:lang w:val="en-US" w:eastAsia="zh-CN"/>
        </w:rPr>
        <w:t>1</w:t>
      </w:r>
      <w:r>
        <w:rPr>
          <w:rFonts w:ascii="仿宋_GB2312" w:hAnsi="华文中宋" w:eastAsia="仿宋_GB2312"/>
          <w:sz w:val="32"/>
          <w:szCs w:val="32"/>
        </w:rPr>
        <w:t>年</w:t>
      </w:r>
      <w:r>
        <w:rPr>
          <w:rFonts w:hint="eastAsia" w:ascii="仿宋_GB2312" w:hAnsi="华文中宋" w:eastAsia="仿宋_GB2312"/>
          <w:sz w:val="32"/>
          <w:szCs w:val="32"/>
        </w:rPr>
        <w:t xml:space="preserve">   </w:t>
      </w:r>
      <w:r>
        <w:rPr>
          <w:rFonts w:ascii="仿宋_GB2312" w:hAnsi="华文中宋" w:eastAsia="仿宋_GB2312"/>
          <w:sz w:val="32"/>
          <w:szCs w:val="32"/>
        </w:rPr>
        <w:t>月</w:t>
      </w:r>
      <w:r>
        <w:rPr>
          <w:rFonts w:hint="eastAsia" w:ascii="仿宋_GB2312" w:hAnsi="华文中宋" w:eastAsia="仿宋_GB2312"/>
          <w:sz w:val="32"/>
          <w:szCs w:val="32"/>
        </w:rPr>
        <w:t xml:space="preserve">   </w:t>
      </w:r>
      <w:r>
        <w:rPr>
          <w:rFonts w:ascii="仿宋_GB2312" w:hAnsi="华文中宋" w:eastAsia="仿宋_GB2312"/>
          <w:sz w:val="32"/>
          <w:szCs w:val="32"/>
        </w:rPr>
        <w:t>日</w:t>
      </w:r>
    </w:p>
    <w:sectPr>
      <w:pgSz w:w="11906" w:h="16838"/>
      <w:pgMar w:top="1417" w:right="1418" w:bottom="141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A3DD5"/>
    <w:multiLevelType w:val="singleLevel"/>
    <w:tmpl w:val="568A3DD5"/>
    <w:lvl w:ilvl="0" w:tentative="0">
      <w:start w:val="1"/>
      <w:numFmt w:val="chineseCounting"/>
      <w:suff w:val="nothing"/>
      <w:lvlText w:val="%1、"/>
      <w:lvlJc w:val="left"/>
    </w:lvl>
  </w:abstractNum>
  <w:abstractNum w:abstractNumId="1">
    <w:nsid w:val="56987A26"/>
    <w:multiLevelType w:val="singleLevel"/>
    <w:tmpl w:val="56987A26"/>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3C6B"/>
    <w:rsid w:val="00001966"/>
    <w:rsid w:val="000050E9"/>
    <w:rsid w:val="00005FE5"/>
    <w:rsid w:val="00033370"/>
    <w:rsid w:val="00046DD0"/>
    <w:rsid w:val="00056CBF"/>
    <w:rsid w:val="0006388D"/>
    <w:rsid w:val="00065707"/>
    <w:rsid w:val="00065A1E"/>
    <w:rsid w:val="000761AB"/>
    <w:rsid w:val="00081B16"/>
    <w:rsid w:val="00083073"/>
    <w:rsid w:val="00091313"/>
    <w:rsid w:val="000A1D15"/>
    <w:rsid w:val="000B3EFB"/>
    <w:rsid w:val="000C7339"/>
    <w:rsid w:val="000D7D1D"/>
    <w:rsid w:val="00104AE7"/>
    <w:rsid w:val="0010529A"/>
    <w:rsid w:val="00113E3B"/>
    <w:rsid w:val="001242F6"/>
    <w:rsid w:val="001248B8"/>
    <w:rsid w:val="00124D9C"/>
    <w:rsid w:val="001471C5"/>
    <w:rsid w:val="0015169F"/>
    <w:rsid w:val="001648F9"/>
    <w:rsid w:val="0017577B"/>
    <w:rsid w:val="00176690"/>
    <w:rsid w:val="00182D33"/>
    <w:rsid w:val="001833DA"/>
    <w:rsid w:val="001C58E0"/>
    <w:rsid w:val="001C7741"/>
    <w:rsid w:val="001D5941"/>
    <w:rsid w:val="001E5A27"/>
    <w:rsid w:val="001F57EB"/>
    <w:rsid w:val="00206715"/>
    <w:rsid w:val="00206F6E"/>
    <w:rsid w:val="002229E6"/>
    <w:rsid w:val="00226482"/>
    <w:rsid w:val="00262F45"/>
    <w:rsid w:val="00271BDD"/>
    <w:rsid w:val="002954C9"/>
    <w:rsid w:val="002B31CA"/>
    <w:rsid w:val="002B52D7"/>
    <w:rsid w:val="002D3BCE"/>
    <w:rsid w:val="002D713C"/>
    <w:rsid w:val="002F4512"/>
    <w:rsid w:val="002F5B4A"/>
    <w:rsid w:val="003022CF"/>
    <w:rsid w:val="00314B33"/>
    <w:rsid w:val="00337DA8"/>
    <w:rsid w:val="00341882"/>
    <w:rsid w:val="00342728"/>
    <w:rsid w:val="00343787"/>
    <w:rsid w:val="00356FF9"/>
    <w:rsid w:val="003626F0"/>
    <w:rsid w:val="0037027E"/>
    <w:rsid w:val="0038000E"/>
    <w:rsid w:val="0038037C"/>
    <w:rsid w:val="0038187C"/>
    <w:rsid w:val="00390C28"/>
    <w:rsid w:val="0039422D"/>
    <w:rsid w:val="003964FB"/>
    <w:rsid w:val="003A3C18"/>
    <w:rsid w:val="003B140E"/>
    <w:rsid w:val="003C3292"/>
    <w:rsid w:val="003D3F82"/>
    <w:rsid w:val="003D5F3E"/>
    <w:rsid w:val="003E15A7"/>
    <w:rsid w:val="003E5CF9"/>
    <w:rsid w:val="003F1873"/>
    <w:rsid w:val="003F52B4"/>
    <w:rsid w:val="00413C6B"/>
    <w:rsid w:val="00421418"/>
    <w:rsid w:val="00423A0B"/>
    <w:rsid w:val="00425F85"/>
    <w:rsid w:val="00465304"/>
    <w:rsid w:val="00471CFF"/>
    <w:rsid w:val="00477E91"/>
    <w:rsid w:val="00485A0E"/>
    <w:rsid w:val="00487EE2"/>
    <w:rsid w:val="004924E5"/>
    <w:rsid w:val="004A2015"/>
    <w:rsid w:val="004B1CAF"/>
    <w:rsid w:val="004C18C3"/>
    <w:rsid w:val="004C4147"/>
    <w:rsid w:val="004D1DEB"/>
    <w:rsid w:val="004D7610"/>
    <w:rsid w:val="004F4E72"/>
    <w:rsid w:val="00500CBF"/>
    <w:rsid w:val="0050488A"/>
    <w:rsid w:val="005052B3"/>
    <w:rsid w:val="00512B64"/>
    <w:rsid w:val="005210CB"/>
    <w:rsid w:val="005216E4"/>
    <w:rsid w:val="00530D3A"/>
    <w:rsid w:val="00541126"/>
    <w:rsid w:val="00564219"/>
    <w:rsid w:val="00576911"/>
    <w:rsid w:val="00580F83"/>
    <w:rsid w:val="00582FCF"/>
    <w:rsid w:val="00584B1B"/>
    <w:rsid w:val="005A1363"/>
    <w:rsid w:val="005A7F2D"/>
    <w:rsid w:val="005B04AC"/>
    <w:rsid w:val="005C410F"/>
    <w:rsid w:val="005C5BB9"/>
    <w:rsid w:val="005C7D81"/>
    <w:rsid w:val="005D04C9"/>
    <w:rsid w:val="005D2776"/>
    <w:rsid w:val="005D3C32"/>
    <w:rsid w:val="005E0FCE"/>
    <w:rsid w:val="005E1FD5"/>
    <w:rsid w:val="005E7CD6"/>
    <w:rsid w:val="005F2407"/>
    <w:rsid w:val="006003FF"/>
    <w:rsid w:val="00614822"/>
    <w:rsid w:val="00620C68"/>
    <w:rsid w:val="00621939"/>
    <w:rsid w:val="00622B75"/>
    <w:rsid w:val="006348D4"/>
    <w:rsid w:val="00640FA3"/>
    <w:rsid w:val="00641697"/>
    <w:rsid w:val="006602E5"/>
    <w:rsid w:val="00664776"/>
    <w:rsid w:val="00666BCE"/>
    <w:rsid w:val="006711EB"/>
    <w:rsid w:val="00677B5A"/>
    <w:rsid w:val="006B0E95"/>
    <w:rsid w:val="006C31D4"/>
    <w:rsid w:val="006C5564"/>
    <w:rsid w:val="006D5C52"/>
    <w:rsid w:val="006E636F"/>
    <w:rsid w:val="006F1867"/>
    <w:rsid w:val="00705987"/>
    <w:rsid w:val="00710CBB"/>
    <w:rsid w:val="0071491A"/>
    <w:rsid w:val="00721979"/>
    <w:rsid w:val="007257B7"/>
    <w:rsid w:val="007268CF"/>
    <w:rsid w:val="00726E5A"/>
    <w:rsid w:val="00745426"/>
    <w:rsid w:val="00745AD0"/>
    <w:rsid w:val="00750713"/>
    <w:rsid w:val="00755A8C"/>
    <w:rsid w:val="0077188F"/>
    <w:rsid w:val="00784C0B"/>
    <w:rsid w:val="007857B4"/>
    <w:rsid w:val="007918CC"/>
    <w:rsid w:val="00793C03"/>
    <w:rsid w:val="00797EDB"/>
    <w:rsid w:val="007A37EF"/>
    <w:rsid w:val="007A68BB"/>
    <w:rsid w:val="007C570E"/>
    <w:rsid w:val="007D041E"/>
    <w:rsid w:val="007D33DF"/>
    <w:rsid w:val="007E4009"/>
    <w:rsid w:val="007F5306"/>
    <w:rsid w:val="00853D71"/>
    <w:rsid w:val="008569CC"/>
    <w:rsid w:val="008733C3"/>
    <w:rsid w:val="00874176"/>
    <w:rsid w:val="00881D9F"/>
    <w:rsid w:val="00882FF1"/>
    <w:rsid w:val="00892FC4"/>
    <w:rsid w:val="008A5494"/>
    <w:rsid w:val="008A5876"/>
    <w:rsid w:val="008B1C63"/>
    <w:rsid w:val="008B4DD2"/>
    <w:rsid w:val="008D5DB2"/>
    <w:rsid w:val="008E2479"/>
    <w:rsid w:val="009002D9"/>
    <w:rsid w:val="00900B8C"/>
    <w:rsid w:val="00903891"/>
    <w:rsid w:val="00903C48"/>
    <w:rsid w:val="0093311D"/>
    <w:rsid w:val="00971B47"/>
    <w:rsid w:val="00981E95"/>
    <w:rsid w:val="0099104C"/>
    <w:rsid w:val="009A0F13"/>
    <w:rsid w:val="009B4596"/>
    <w:rsid w:val="009B5699"/>
    <w:rsid w:val="009C2274"/>
    <w:rsid w:val="009C34DB"/>
    <w:rsid w:val="009C377A"/>
    <w:rsid w:val="009C4DE2"/>
    <w:rsid w:val="009C57D8"/>
    <w:rsid w:val="009D2F6E"/>
    <w:rsid w:val="009E795E"/>
    <w:rsid w:val="009F59DC"/>
    <w:rsid w:val="00A03414"/>
    <w:rsid w:val="00A16651"/>
    <w:rsid w:val="00A21897"/>
    <w:rsid w:val="00A27482"/>
    <w:rsid w:val="00A42E83"/>
    <w:rsid w:val="00A5758B"/>
    <w:rsid w:val="00A700B2"/>
    <w:rsid w:val="00A75355"/>
    <w:rsid w:val="00A80CAA"/>
    <w:rsid w:val="00A86E95"/>
    <w:rsid w:val="00A93CBD"/>
    <w:rsid w:val="00AB03C5"/>
    <w:rsid w:val="00AB449A"/>
    <w:rsid w:val="00AD2D55"/>
    <w:rsid w:val="00AE0FF7"/>
    <w:rsid w:val="00AF1F87"/>
    <w:rsid w:val="00B026E7"/>
    <w:rsid w:val="00B06E0B"/>
    <w:rsid w:val="00B164B5"/>
    <w:rsid w:val="00B24419"/>
    <w:rsid w:val="00B26AD3"/>
    <w:rsid w:val="00B34ECE"/>
    <w:rsid w:val="00B43211"/>
    <w:rsid w:val="00B53B6D"/>
    <w:rsid w:val="00B60FB2"/>
    <w:rsid w:val="00B633B9"/>
    <w:rsid w:val="00B756C6"/>
    <w:rsid w:val="00B76498"/>
    <w:rsid w:val="00B811BC"/>
    <w:rsid w:val="00B823D2"/>
    <w:rsid w:val="00B82CA0"/>
    <w:rsid w:val="00B92C7E"/>
    <w:rsid w:val="00B96C8A"/>
    <w:rsid w:val="00BB3B34"/>
    <w:rsid w:val="00BB3F53"/>
    <w:rsid w:val="00BC31CA"/>
    <w:rsid w:val="00BC39E5"/>
    <w:rsid w:val="00BD3F22"/>
    <w:rsid w:val="00BE1395"/>
    <w:rsid w:val="00BE742C"/>
    <w:rsid w:val="00C12796"/>
    <w:rsid w:val="00C21624"/>
    <w:rsid w:val="00C45F04"/>
    <w:rsid w:val="00C53586"/>
    <w:rsid w:val="00CB08C8"/>
    <w:rsid w:val="00CB1067"/>
    <w:rsid w:val="00CD2939"/>
    <w:rsid w:val="00CE641B"/>
    <w:rsid w:val="00CF2B53"/>
    <w:rsid w:val="00D0599F"/>
    <w:rsid w:val="00D06B76"/>
    <w:rsid w:val="00D17969"/>
    <w:rsid w:val="00D41FFF"/>
    <w:rsid w:val="00D5222A"/>
    <w:rsid w:val="00D5709A"/>
    <w:rsid w:val="00D63036"/>
    <w:rsid w:val="00D645BD"/>
    <w:rsid w:val="00D701A7"/>
    <w:rsid w:val="00D72ECB"/>
    <w:rsid w:val="00D869E8"/>
    <w:rsid w:val="00D8700B"/>
    <w:rsid w:val="00DB4AD6"/>
    <w:rsid w:val="00DC011F"/>
    <w:rsid w:val="00DC335D"/>
    <w:rsid w:val="00DD7156"/>
    <w:rsid w:val="00DE1597"/>
    <w:rsid w:val="00DE2624"/>
    <w:rsid w:val="00DE590D"/>
    <w:rsid w:val="00DF33C2"/>
    <w:rsid w:val="00E169D3"/>
    <w:rsid w:val="00E241C9"/>
    <w:rsid w:val="00E35610"/>
    <w:rsid w:val="00E37855"/>
    <w:rsid w:val="00E41525"/>
    <w:rsid w:val="00E44584"/>
    <w:rsid w:val="00E65D88"/>
    <w:rsid w:val="00E713ED"/>
    <w:rsid w:val="00E80DEE"/>
    <w:rsid w:val="00E8479D"/>
    <w:rsid w:val="00E97651"/>
    <w:rsid w:val="00EA1FC9"/>
    <w:rsid w:val="00EA5C56"/>
    <w:rsid w:val="00EB1811"/>
    <w:rsid w:val="00EB6634"/>
    <w:rsid w:val="00EE26D5"/>
    <w:rsid w:val="00EE337F"/>
    <w:rsid w:val="00EE3E13"/>
    <w:rsid w:val="00EE4F2A"/>
    <w:rsid w:val="00EF148E"/>
    <w:rsid w:val="00F04522"/>
    <w:rsid w:val="00F0520F"/>
    <w:rsid w:val="00F26AA8"/>
    <w:rsid w:val="00F35382"/>
    <w:rsid w:val="00F35EE9"/>
    <w:rsid w:val="00F36A5E"/>
    <w:rsid w:val="00F40192"/>
    <w:rsid w:val="00F764EC"/>
    <w:rsid w:val="00FA6AD8"/>
    <w:rsid w:val="00FA73EB"/>
    <w:rsid w:val="00FD4104"/>
    <w:rsid w:val="00FD7809"/>
    <w:rsid w:val="00FF00F6"/>
    <w:rsid w:val="00FF1F17"/>
    <w:rsid w:val="029E0CDB"/>
    <w:rsid w:val="04664A43"/>
    <w:rsid w:val="056004DF"/>
    <w:rsid w:val="05754C01"/>
    <w:rsid w:val="05806815"/>
    <w:rsid w:val="076A6AE6"/>
    <w:rsid w:val="078A686A"/>
    <w:rsid w:val="07AA4BA0"/>
    <w:rsid w:val="08FA104A"/>
    <w:rsid w:val="09C74F1B"/>
    <w:rsid w:val="0BBC084E"/>
    <w:rsid w:val="0E582405"/>
    <w:rsid w:val="0EFF5127"/>
    <w:rsid w:val="115433FE"/>
    <w:rsid w:val="12236F4E"/>
    <w:rsid w:val="12E861F5"/>
    <w:rsid w:val="12FB4A33"/>
    <w:rsid w:val="142B2BA6"/>
    <w:rsid w:val="15201CD5"/>
    <w:rsid w:val="154410F5"/>
    <w:rsid w:val="16815279"/>
    <w:rsid w:val="17592D5E"/>
    <w:rsid w:val="17905436"/>
    <w:rsid w:val="187F72BD"/>
    <w:rsid w:val="189439DF"/>
    <w:rsid w:val="19024013"/>
    <w:rsid w:val="194C6A11"/>
    <w:rsid w:val="19574DA2"/>
    <w:rsid w:val="1A7C1301"/>
    <w:rsid w:val="1A9212A7"/>
    <w:rsid w:val="1AF30046"/>
    <w:rsid w:val="1BB71027"/>
    <w:rsid w:val="1C7A6BC9"/>
    <w:rsid w:val="1E6D287C"/>
    <w:rsid w:val="1EC80DEF"/>
    <w:rsid w:val="1ECA42F2"/>
    <w:rsid w:val="1F053CF4"/>
    <w:rsid w:val="200B57A0"/>
    <w:rsid w:val="21E74D1B"/>
    <w:rsid w:val="22333EAB"/>
    <w:rsid w:val="23385CD8"/>
    <w:rsid w:val="233C70BF"/>
    <w:rsid w:val="2489657E"/>
    <w:rsid w:val="25F954DB"/>
    <w:rsid w:val="26A22B4F"/>
    <w:rsid w:val="27C24AC7"/>
    <w:rsid w:val="297E60A1"/>
    <w:rsid w:val="29E14AC1"/>
    <w:rsid w:val="29EC66D5"/>
    <w:rsid w:val="2A423861"/>
    <w:rsid w:val="2F1808D1"/>
    <w:rsid w:val="2F2D4FF3"/>
    <w:rsid w:val="30C82FF9"/>
    <w:rsid w:val="310B4584"/>
    <w:rsid w:val="325B51AB"/>
    <w:rsid w:val="342E63AB"/>
    <w:rsid w:val="3507028C"/>
    <w:rsid w:val="35281E46"/>
    <w:rsid w:val="36584736"/>
    <w:rsid w:val="37FF15EF"/>
    <w:rsid w:val="3A7F4B06"/>
    <w:rsid w:val="3BD00FAF"/>
    <w:rsid w:val="3BDA7340"/>
    <w:rsid w:val="3C7207B9"/>
    <w:rsid w:val="3CC94A4B"/>
    <w:rsid w:val="3D98059B"/>
    <w:rsid w:val="3EA70758"/>
    <w:rsid w:val="3ED34AA0"/>
    <w:rsid w:val="3F6A6298"/>
    <w:rsid w:val="41560B72"/>
    <w:rsid w:val="41AA4248"/>
    <w:rsid w:val="41D50910"/>
    <w:rsid w:val="41F56C46"/>
    <w:rsid w:val="425B0420"/>
    <w:rsid w:val="43B37EA1"/>
    <w:rsid w:val="43BE6232"/>
    <w:rsid w:val="44146C41"/>
    <w:rsid w:val="447659E0"/>
    <w:rsid w:val="44CC63EF"/>
    <w:rsid w:val="460728F4"/>
    <w:rsid w:val="465A1829"/>
    <w:rsid w:val="473751E4"/>
    <w:rsid w:val="477914D1"/>
    <w:rsid w:val="47E56601"/>
    <w:rsid w:val="47FA65A7"/>
    <w:rsid w:val="48B25D55"/>
    <w:rsid w:val="48DF209C"/>
    <w:rsid w:val="494A71CD"/>
    <w:rsid w:val="4B4A0E91"/>
    <w:rsid w:val="4CA536CC"/>
    <w:rsid w:val="4CF124C7"/>
    <w:rsid w:val="4F105D44"/>
    <w:rsid w:val="4F3B240C"/>
    <w:rsid w:val="50AB1369"/>
    <w:rsid w:val="50C20F8E"/>
    <w:rsid w:val="52296707"/>
    <w:rsid w:val="52783FF0"/>
    <w:rsid w:val="53376114"/>
    <w:rsid w:val="54517EE5"/>
    <w:rsid w:val="545C6276"/>
    <w:rsid w:val="547D09A9"/>
    <w:rsid w:val="54C93027"/>
    <w:rsid w:val="55574C56"/>
    <w:rsid w:val="564F1F29"/>
    <w:rsid w:val="567B6271"/>
    <w:rsid w:val="573F3A30"/>
    <w:rsid w:val="57751D0C"/>
    <w:rsid w:val="593276E3"/>
    <w:rsid w:val="59723D50"/>
    <w:rsid w:val="5AA31EC3"/>
    <w:rsid w:val="5AF9704F"/>
    <w:rsid w:val="5B705D94"/>
    <w:rsid w:val="5BFD0E7B"/>
    <w:rsid w:val="5D6F7A58"/>
    <w:rsid w:val="5D7C1ACF"/>
    <w:rsid w:val="5E47553D"/>
    <w:rsid w:val="60B37BB5"/>
    <w:rsid w:val="61E324A5"/>
    <w:rsid w:val="61EE40B9"/>
    <w:rsid w:val="64426B0C"/>
    <w:rsid w:val="64C47FDF"/>
    <w:rsid w:val="66AD5901"/>
    <w:rsid w:val="67F30197"/>
    <w:rsid w:val="68754EED"/>
    <w:rsid w:val="69001642"/>
    <w:rsid w:val="690C1F68"/>
    <w:rsid w:val="6A270136"/>
    <w:rsid w:val="6A357C2F"/>
    <w:rsid w:val="6AA9520C"/>
    <w:rsid w:val="6D351FB7"/>
    <w:rsid w:val="6D60667F"/>
    <w:rsid w:val="6D814635"/>
    <w:rsid w:val="6F3D238D"/>
    <w:rsid w:val="6F7F6679"/>
    <w:rsid w:val="6F8A4A0A"/>
    <w:rsid w:val="700233CF"/>
    <w:rsid w:val="70427A3C"/>
    <w:rsid w:val="7076068B"/>
    <w:rsid w:val="70AF47ED"/>
    <w:rsid w:val="70BA2B7E"/>
    <w:rsid w:val="717D06BD"/>
    <w:rsid w:val="72B84BC2"/>
    <w:rsid w:val="73B1065D"/>
    <w:rsid w:val="73C92736"/>
    <w:rsid w:val="756E1C38"/>
    <w:rsid w:val="757A7C49"/>
    <w:rsid w:val="77F96D63"/>
    <w:rsid w:val="79352EE7"/>
    <w:rsid w:val="794E0D71"/>
    <w:rsid w:val="7A026DB8"/>
    <w:rsid w:val="7B533262"/>
    <w:rsid w:val="7C99137B"/>
    <w:rsid w:val="7D260BDE"/>
    <w:rsid w:val="7D5052A6"/>
    <w:rsid w:val="7E8B17AA"/>
    <w:rsid w:val="7EF25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uiPriority w:val="0"/>
    <w:pPr>
      <w:spacing w:line="520" w:lineRule="exact"/>
      <w:ind w:firstLine="720" w:firstLineChars="225"/>
    </w:pPr>
    <w:rPr>
      <w:rFonts w:eastAsia="仿宋_GB2312"/>
      <w:sz w:val="32"/>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uiPriority w:val="0"/>
    <w:rPr>
      <w:kern w:val="2"/>
      <w:sz w:val="18"/>
      <w:szCs w:val="18"/>
    </w:rPr>
  </w:style>
  <w:style w:type="paragraph" w:customStyle="1" w:styleId="9">
    <w:name w:val="Char"/>
    <w:basedOn w:val="1"/>
    <w:uiPriority w:val="0"/>
    <w:pPr>
      <w:widowControl/>
      <w:spacing w:line="578" w:lineRule="atLeast"/>
    </w:pPr>
    <w:rPr>
      <w:szCs w:val="20"/>
    </w:rPr>
  </w:style>
  <w:style w:type="paragraph" w:customStyle="1" w:styleId="10">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301</Words>
  <Characters>1719</Characters>
  <Lines>14</Lines>
  <Paragraphs>4</Paragraphs>
  <TotalTime>0</TotalTime>
  <ScaleCrop>false</ScaleCrop>
  <LinksUpToDate>false</LinksUpToDate>
  <CharactersWithSpaces>2016</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2019-01-19T02:27:00Z</dcterms:created>
  <dc:creator>walkinnet</dc:creator>
  <cp:lastModifiedBy>杨顺莹</cp:lastModifiedBy>
  <cp:lastPrinted>2015-03-05T02:42:00Z</cp:lastPrinted>
  <dcterms:modified xsi:type="dcterms:W3CDTF">2021-02-18T10:04:39Z</dcterms:modified>
  <dc:title>自治区公安厅2015年综治维稳和平安建设</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