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合同续约申请函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致：北京平方青年路汽车商贸城市场有限公司</w:t>
      </w:r>
    </w:p>
    <w:p>
      <w:pPr>
        <w:spacing w:line="4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我司（北京三汇能环科技发展有限公司）自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15日</w:t>
      </w:r>
      <w:r>
        <w:rPr>
          <w:rFonts w:hint="eastAsia" w:ascii="宋体" w:hAnsi="宋体" w:eastAsia="宋体" w:cs="宋体"/>
          <w:sz w:val="24"/>
          <w:szCs w:val="24"/>
        </w:rPr>
        <w:t>与贵公司签署了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活力东方购物广场《直燃机等年度保养技术服务合同》，期间得到了贵公司领导及各个部门的大力支持。自从与贵司合作以来，我司严格履行合同义务，积极完成维护保养任务，为彼此的信任与友谊打下了坚实的基础。正因为拥有深厚合作基础前提，我司确信在以后的合作中会更加愉快。现因我司与贵公司签订的合同即将到期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我司希望继续为贵公司设备提供维保保养服务，续签下一年度服务合同的请求，依照贵公司领导要求，遵守各项规章制度，提升我司工作人员服务水平，认真做好维护保养的各项工作内容。</w:t>
      </w:r>
    </w:p>
    <w:p>
      <w:pPr>
        <w:spacing w:line="4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相信在新的一年合作中，双方一定能够继续保持这种良好的合作关系，共同做好设备维护保养的相关工作。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我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司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珍视在合作中与贵司建立深厚友谊及因此融洽关系给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方带来的利益，希望贵公司能一如既往的给予支持和关照！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3"/>
        <w:ind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此致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ind w:left="441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敬礼！</w:t>
      </w:r>
    </w:p>
    <w:p>
      <w:pPr>
        <w:spacing w:line="360" w:lineRule="auto"/>
        <w:ind w:firstLine="1680" w:firstLineChars="7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2520" w:firstLineChars="700"/>
        <w:rPr>
          <w:rFonts w:hint="eastAsia" w:ascii="宋体" w:hAnsi="宋体" w:eastAsia="宋体" w:cs="宋体"/>
          <w:sz w:val="36"/>
          <w:szCs w:val="36"/>
        </w:rPr>
      </w:pPr>
    </w:p>
    <w:p>
      <w:pPr>
        <w:spacing w:line="360" w:lineRule="auto"/>
        <w:ind w:firstLine="4560" w:firstLineChars="19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北京三汇能环科技发展有限公司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</w:t>
      </w:r>
    </w:p>
    <w:p>
      <w:pPr>
        <w:spacing w:line="360" w:lineRule="auto"/>
        <w:ind w:firstLine="5280" w:firstLineChars="2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21年10月14日</w:t>
      </w:r>
    </w:p>
    <w:p>
      <w:pPr>
        <w:spacing w:line="360" w:lineRule="auto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pStyle w:val="2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pStyle w:val="2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pStyle w:val="2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pStyle w:val="2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pStyle w:val="2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附件:报价单</w:t>
      </w:r>
    </w:p>
    <w:tbl>
      <w:tblPr>
        <w:tblStyle w:val="5"/>
        <w:tblW w:w="83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2555"/>
        <w:gridCol w:w="1099"/>
        <w:gridCol w:w="765"/>
        <w:gridCol w:w="754"/>
        <w:gridCol w:w="1049"/>
        <w:gridCol w:w="1062"/>
        <w:gridCol w:w="5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3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                              报 价 明 细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 单位（人民币）：元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序号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部品/作业名称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型号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数量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单位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单价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金额/￥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直燃机机年度保养技术服务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LDF-H300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台/年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195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00.00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39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000.00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1#、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2#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2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冷却塔年度保养技术服务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D3HZ2-100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组/年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6500.00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13000.00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3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水质稳定处理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系统/年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18000.00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36000.00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4</w:t>
            </w: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价税合计（6%服务发票）</w:t>
            </w:r>
          </w:p>
        </w:tc>
        <w:tc>
          <w:tcPr>
            <w:tcW w:w="2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仟元整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88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000.00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35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top"/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备注：报价范围外的费用另计。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1585D"/>
    <w:rsid w:val="09674A6D"/>
    <w:rsid w:val="6CAA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Salutation"/>
    <w:basedOn w:val="1"/>
    <w:next w:val="1"/>
    <w:qFormat/>
    <w:uiPriority w:val="0"/>
    <w:rPr>
      <w:rFonts w:ascii="宋体" w:hAnsi="宋体"/>
      <w:sz w:val="30"/>
      <w:szCs w:val="30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宋体" w:hAnsi="宋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2021-10-14T06:32:00Z</dcterms:created>
  <dc:creator>a</dc:creator>
  <cp:lastModifiedBy>王者归来</cp:lastModifiedBy>
  <dcterms:modified xsi:type="dcterms:W3CDTF">2021-10-14T08:36:25Z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408FEAB62AA647978D71D049D8BC04AB</vt:lpwstr>
  </property>
</Properties>
</file>