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color w:val="auto"/>
          <w:sz w:val="44"/>
          <w:szCs w:val="44"/>
        </w:rPr>
      </w:pPr>
      <w:r>
        <w:rPr>
          <w:rFonts w:hint="eastAsia" w:asciiTheme="majorEastAsia" w:hAnsiTheme="majorEastAsia" w:eastAsiaTheme="majorEastAsia"/>
          <w:b/>
          <w:color w:val="auto"/>
          <w:sz w:val="44"/>
          <w:szCs w:val="44"/>
        </w:rPr>
        <w:t>委  托  书</w:t>
      </w:r>
    </w:p>
    <w:p>
      <w:pPr>
        <w:spacing w:line="460" w:lineRule="exact"/>
        <w:rPr>
          <w:color w:val="auto"/>
          <w:sz w:val="24"/>
          <w:szCs w:val="24"/>
        </w:rPr>
      </w:pPr>
    </w:p>
    <w:p>
      <w:pPr>
        <w:numPr>
          <w:ilvl w:val="0"/>
          <w:numId w:val="0"/>
        </w:numPr>
        <w:spacing w:line="5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color w:val="auto"/>
          <w:sz w:val="24"/>
          <w:szCs w:val="24"/>
        </w:rPr>
        <w:t>委托人</w:t>
      </w:r>
      <w:r>
        <w:rPr>
          <w:rFonts w:hint="eastAsia" w:ascii="宋体" w:hAnsi="宋体" w:eastAsia="宋体" w:cs="宋体"/>
          <w:b w:val="0"/>
          <w:bCs w:val="0"/>
          <w:color w:val="auto"/>
          <w:sz w:val="24"/>
          <w:szCs w:val="24"/>
          <w:u w:val="single"/>
          <w:lang w:val="en-US" w:eastAsia="zh-CN"/>
        </w:rPr>
        <w:t>北京三汇能环科技发展有限公司</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兹委托</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lang w:eastAsia="zh-CN"/>
        </w:rPr>
        <w:t>广东秦仪律师事务所</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出具律师函，要求</w:t>
      </w:r>
      <w:r>
        <w:rPr>
          <w:rFonts w:hint="eastAsia" w:ascii="宋体" w:hAnsi="宋体" w:eastAsia="宋体" w:cs="宋体"/>
          <w:b w:val="0"/>
          <w:bCs w:val="0"/>
          <w:color w:val="auto"/>
          <w:sz w:val="24"/>
          <w:szCs w:val="24"/>
          <w:u w:val="single"/>
          <w:lang w:val="en-US" w:eastAsia="zh-CN"/>
        </w:rPr>
        <w:t>江苏杨辉物业服务有限公司</w:t>
      </w:r>
      <w:r>
        <w:rPr>
          <w:rFonts w:hint="eastAsia" w:ascii="宋体" w:hAnsi="宋体" w:eastAsia="宋体" w:cs="宋体"/>
          <w:b w:val="0"/>
          <w:bCs w:val="0"/>
          <w:color w:val="auto"/>
          <w:sz w:val="24"/>
          <w:szCs w:val="24"/>
          <w:u w:val="none"/>
          <w:lang w:val="en-US" w:eastAsia="zh-CN"/>
        </w:rPr>
        <w:t>支付服务费¥</w:t>
      </w:r>
      <w:r>
        <w:rPr>
          <w:rFonts w:hint="eastAsia" w:ascii="宋体" w:hAnsi="宋体" w:eastAsia="宋体" w:cs="宋体"/>
          <w:b w:val="0"/>
          <w:bCs w:val="0"/>
          <w:color w:val="auto"/>
          <w:sz w:val="24"/>
          <w:szCs w:val="24"/>
          <w:u w:val="single"/>
          <w:lang w:val="en-US" w:eastAsia="zh-CN"/>
        </w:rPr>
        <w:t xml:space="preserve"> 22800</w:t>
      </w:r>
      <w:r>
        <w:rPr>
          <w:rFonts w:hint="eastAsia" w:ascii="宋体" w:hAnsi="宋体" w:eastAsia="宋体" w:cs="宋体"/>
          <w:b w:val="0"/>
          <w:bCs w:val="0"/>
          <w:color w:val="auto"/>
          <w:sz w:val="24"/>
          <w:szCs w:val="24"/>
          <w:u w:val="none"/>
          <w:lang w:val="en-US" w:eastAsia="zh-CN"/>
        </w:rPr>
        <w:t>元及维修费用¥</w:t>
      </w:r>
      <w:r>
        <w:rPr>
          <w:rFonts w:hint="eastAsia" w:ascii="宋体" w:hAnsi="宋体" w:eastAsia="宋体" w:cs="宋体"/>
          <w:b w:val="0"/>
          <w:bCs w:val="0"/>
          <w:color w:val="auto"/>
          <w:sz w:val="24"/>
          <w:szCs w:val="24"/>
          <w:u w:val="single"/>
          <w:lang w:val="en-US" w:eastAsia="zh-CN"/>
        </w:rPr>
        <w:t>2000</w:t>
      </w:r>
      <w:r>
        <w:rPr>
          <w:rFonts w:hint="eastAsia" w:ascii="宋体" w:hAnsi="宋体" w:eastAsia="宋体" w:cs="宋体"/>
          <w:b w:val="0"/>
          <w:bCs w:val="0"/>
          <w:color w:val="auto"/>
          <w:sz w:val="24"/>
          <w:szCs w:val="24"/>
          <w:u w:val="none"/>
          <w:lang w:val="en-US" w:eastAsia="zh-CN"/>
        </w:rPr>
        <w:t>元，合计¥</w:t>
      </w:r>
      <w:r>
        <w:rPr>
          <w:rFonts w:hint="eastAsia" w:ascii="宋体" w:hAnsi="宋体" w:eastAsia="宋体" w:cs="宋体"/>
          <w:b w:val="0"/>
          <w:bCs w:val="0"/>
          <w:color w:val="auto"/>
          <w:sz w:val="24"/>
          <w:szCs w:val="24"/>
          <w:u w:val="single"/>
          <w:lang w:val="en-US" w:eastAsia="zh-CN"/>
        </w:rPr>
        <w:t>24800</w:t>
      </w:r>
      <w:r>
        <w:rPr>
          <w:rFonts w:hint="eastAsia" w:ascii="宋体" w:hAnsi="宋体" w:eastAsia="宋体" w:cs="宋体"/>
          <w:b w:val="0"/>
          <w:bCs w:val="0"/>
          <w:color w:val="auto"/>
          <w:sz w:val="24"/>
          <w:szCs w:val="24"/>
          <w:u w:val="none"/>
          <w:lang w:val="en-US" w:eastAsia="zh-CN"/>
        </w:rPr>
        <w:t>元（大写人民币：</w:t>
      </w:r>
      <w:r>
        <w:rPr>
          <w:rFonts w:hint="eastAsia" w:ascii="宋体" w:hAnsi="宋体" w:eastAsia="宋体" w:cs="宋体"/>
          <w:b w:val="0"/>
          <w:bCs w:val="0"/>
          <w:color w:val="auto"/>
          <w:sz w:val="24"/>
          <w:szCs w:val="24"/>
          <w:u w:val="single"/>
          <w:lang w:val="en-US" w:eastAsia="zh-CN"/>
        </w:rPr>
        <w:t>贰万肆仟捌佰</w:t>
      </w:r>
      <w:r>
        <w:rPr>
          <w:rFonts w:hint="eastAsia" w:ascii="宋体" w:hAnsi="宋体" w:eastAsia="宋体" w:cs="宋体"/>
          <w:b w:val="0"/>
          <w:bCs w:val="0"/>
          <w:color w:val="auto"/>
          <w:sz w:val="24"/>
          <w:szCs w:val="24"/>
          <w:u w:val="none"/>
          <w:lang w:val="en-US" w:eastAsia="zh-CN"/>
        </w:rPr>
        <w:t>元整）</w:t>
      </w:r>
      <w:r>
        <w:rPr>
          <w:rFonts w:hint="eastAsia" w:ascii="宋体" w:hAnsi="宋体" w:eastAsia="宋体" w:cs="宋体"/>
          <w:b w:val="0"/>
          <w:bCs w:val="0"/>
          <w:sz w:val="24"/>
          <w:szCs w:val="24"/>
          <w:lang w:val="en-US" w:eastAsia="zh-CN"/>
        </w:rPr>
        <w:t>。</w:t>
      </w:r>
    </w:p>
    <w:p>
      <w:pPr>
        <w:spacing w:line="460" w:lineRule="exact"/>
        <w:rPr>
          <w:rFonts w:hint="eastAsia"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rPr>
        <w:t>附：收函方联系人</w:t>
      </w:r>
      <w:r>
        <w:rPr>
          <w:rFonts w:hint="eastAsia" w:ascii="宋体" w:hAnsi="宋体" w:eastAsia="宋体" w:cs="宋体"/>
          <w:b w:val="0"/>
          <w:bCs w:val="0"/>
          <w:color w:val="auto"/>
          <w:sz w:val="24"/>
          <w:szCs w:val="24"/>
          <w:lang w:eastAsia="zh-CN"/>
        </w:rPr>
        <w:t>及联系电话</w:t>
      </w:r>
      <w:r>
        <w:rPr>
          <w:rFonts w:hint="eastAsia" w:ascii="宋体" w:hAnsi="宋体" w:eastAsia="宋体" w:cs="宋体"/>
          <w:b w:val="0"/>
          <w:bCs w:val="0"/>
          <w:color w:val="auto"/>
          <w:sz w:val="24"/>
          <w:szCs w:val="24"/>
        </w:rPr>
        <w:t>：</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cs="宋体"/>
          <w:b w:val="0"/>
          <w:bCs w:val="0"/>
          <w:color w:val="000000" w:themeColor="text1"/>
          <w:sz w:val="24"/>
          <w:szCs w:val="24"/>
          <w:u w:val="single"/>
          <w:lang w:val="en-US" w:eastAsia="zh-CN"/>
          <w14:textFill>
            <w14:solidFill>
              <w14:schemeClr w14:val="tx1"/>
            </w14:solidFill>
          </w14:textFill>
        </w:rPr>
        <w:t>左良涧  17312347890</w:t>
      </w:r>
      <w:r>
        <w:rPr>
          <w:rFonts w:hint="eastAsia" w:ascii="宋体" w:hAnsi="宋体" w:eastAsia="宋体" w:cs="宋体"/>
          <w:b w:val="0"/>
          <w:bCs w:val="0"/>
          <w:i w:val="0"/>
          <w:caps w:val="0"/>
          <w:color w:val="auto"/>
          <w:spacing w:val="0"/>
          <w:sz w:val="24"/>
          <w:szCs w:val="24"/>
          <w:u w:val="single"/>
          <w:shd w:val="clear" w:fill="FFFFFF"/>
          <w:lang w:val="en-US" w:eastAsia="zh-CN"/>
        </w:rPr>
        <w:t xml:space="preserve">  </w:t>
      </w:r>
    </w:p>
    <w:p>
      <w:pPr>
        <w:spacing w:line="460" w:lineRule="exact"/>
        <w:rPr>
          <w:rFonts w:hint="eastAsia"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rPr>
        <w:t>联系地址：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cs="宋体"/>
          <w:b w:val="0"/>
          <w:bCs w:val="0"/>
          <w:color w:val="000000" w:themeColor="text1"/>
          <w:sz w:val="24"/>
          <w:szCs w:val="24"/>
          <w:u w:val="single"/>
          <w:lang w:val="en-US" w:eastAsia="zh-CN"/>
          <w14:textFill>
            <w14:solidFill>
              <w14:schemeClr w14:val="tx1"/>
            </w14:solidFill>
          </w14:textFill>
        </w:rPr>
        <w:t xml:space="preserve">北京市朝阳区高碑店乡北花园村388号华汇大厦 </w:t>
      </w:r>
      <w:r>
        <w:rPr>
          <w:rFonts w:hint="eastAsia" w:ascii="宋体" w:hAnsi="宋体" w:eastAsia="宋体" w:cs="宋体"/>
          <w:b w:val="0"/>
          <w:bCs w:val="0"/>
          <w:color w:val="auto"/>
          <w:sz w:val="24"/>
          <w:szCs w:val="24"/>
          <w:u w:val="single"/>
          <w:lang w:val="en-US" w:eastAsia="zh-CN"/>
        </w:rPr>
        <w:t xml:space="preserve">   </w:t>
      </w:r>
      <w:bookmarkStart w:id="0" w:name="_GoBack"/>
      <w:bookmarkEnd w:id="0"/>
    </w:p>
    <w:p>
      <w:pPr>
        <w:spacing w:line="460" w:lineRule="exac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备用地址：</w:t>
      </w:r>
      <w:r>
        <w:rPr>
          <w:rFonts w:hint="eastAsia" w:ascii="宋体" w:hAnsi="宋体" w:eastAsia="宋体" w:cs="宋体"/>
          <w:b w:val="0"/>
          <w:bCs w:val="0"/>
          <w:color w:val="auto"/>
          <w:sz w:val="24"/>
          <w:szCs w:val="24"/>
          <w:u w:val="single"/>
        </w:rPr>
        <w:t xml:space="preserve">   </w:t>
      </w:r>
      <w:r>
        <w:rPr>
          <w:rFonts w:hint="eastAsia" w:ascii="宋体" w:hAnsi="宋体" w:cs="宋体"/>
          <w:b w:val="0"/>
          <w:bCs w:val="0"/>
          <w:color w:val="auto"/>
          <w:sz w:val="24"/>
          <w:szCs w:val="24"/>
          <w:u w:val="single"/>
          <w:lang w:eastAsia="zh-CN"/>
        </w:rPr>
        <w:t>无</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val="en-US" w:eastAsia="zh-CN"/>
        </w:rPr>
        <w:t xml:space="preserve">                        </w:t>
      </w:r>
    </w:p>
    <w:p>
      <w:pPr>
        <w:spacing w:line="460" w:lineRule="exact"/>
        <w:ind w:left="600" w:hanging="600" w:hangingChars="250"/>
        <w:rPr>
          <w:rFonts w:hint="eastAsia" w:ascii="宋体" w:hAnsi="宋体" w:eastAsia="宋体" w:cs="宋体"/>
          <w:color w:val="auto"/>
          <w:sz w:val="24"/>
          <w:szCs w:val="24"/>
        </w:rPr>
      </w:pPr>
      <w:r>
        <w:rPr>
          <w:rFonts w:hint="eastAsia" w:ascii="宋体" w:hAnsi="宋体" w:eastAsia="宋体" w:cs="宋体"/>
          <w:color w:val="auto"/>
          <w:sz w:val="24"/>
          <w:szCs w:val="24"/>
        </w:rPr>
        <w:t>（1）委托人为自然人的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应提交中华人民共和国居民身份证复印件等能证明委托人身份的材料；</w:t>
      </w:r>
    </w:p>
    <w:p>
      <w:pPr>
        <w:spacing w:line="460" w:lineRule="exact"/>
        <w:ind w:left="600" w:hanging="600" w:hangingChars="250"/>
        <w:rPr>
          <w:rFonts w:hint="eastAsia" w:ascii="宋体" w:hAnsi="宋体" w:eastAsia="宋体" w:cs="宋体"/>
          <w:color w:val="auto"/>
          <w:sz w:val="24"/>
          <w:szCs w:val="24"/>
        </w:rPr>
      </w:pPr>
      <w:r>
        <w:rPr>
          <w:rFonts w:hint="eastAsia" w:ascii="宋体" w:hAnsi="宋体" w:eastAsia="宋体" w:cs="宋体"/>
          <w:color w:val="auto"/>
          <w:sz w:val="24"/>
          <w:szCs w:val="24"/>
        </w:rPr>
        <w:t>（2）委托人为企业法人的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应提交营业执照或者组织机构代码证复印件等能证明委托人身份的材料。</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委托人（</w:t>
      </w:r>
      <w:r>
        <w:rPr>
          <w:rFonts w:hint="eastAsia" w:ascii="宋体" w:hAnsi="宋体" w:eastAsia="宋体" w:cs="宋体"/>
          <w:color w:val="auto"/>
          <w:sz w:val="24"/>
          <w:szCs w:val="24"/>
          <w:lang w:eastAsia="zh-CN"/>
        </w:rPr>
        <w:t>盖章</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授权人/法人代表（签名）：</w:t>
      </w:r>
    </w:p>
    <w:p>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年   月   日</w:t>
      </w:r>
      <w:r>
        <w:rPr>
          <w:rFonts w:hint="eastAsia" w:ascii="宋体" w:hAnsi="宋体" w:eastAsia="宋体" w:cs="宋体"/>
          <w:color w:val="auto"/>
          <w:sz w:val="24"/>
          <w:szCs w:val="24"/>
        </w:rPr>
        <w:t xml:space="preserve">     </w:t>
      </w:r>
    </w:p>
    <w:p>
      <w:pPr>
        <w:spacing w:line="460" w:lineRule="exact"/>
        <w:rPr>
          <w:rFonts w:hint="eastAsia"/>
          <w:color w:val="auto"/>
          <w:sz w:val="24"/>
          <w:szCs w:val="24"/>
        </w:rPr>
      </w:pPr>
      <w:r>
        <w:rPr>
          <w:rFonts w:hint="eastAsia"/>
          <w:color w:val="auto"/>
          <w:sz w:val="24"/>
          <w:szCs w:val="24"/>
        </w:rPr>
        <w:t xml:space="preserve">     </w:t>
      </w:r>
    </w:p>
    <w:p>
      <w:pPr>
        <w:spacing w:line="460" w:lineRule="exact"/>
        <w:rPr>
          <w:rFonts w:hint="eastAsia"/>
          <w:color w:val="auto"/>
          <w:sz w:val="24"/>
          <w:szCs w:val="24"/>
        </w:rPr>
      </w:pPr>
    </w:p>
    <w:p>
      <w:pPr>
        <w:spacing w:line="460" w:lineRule="exact"/>
        <w:jc w:val="center"/>
        <w:rPr>
          <w:rFonts w:hint="eastAsia" w:eastAsia="宋体"/>
          <w:b/>
          <w:bCs/>
          <w:sz w:val="44"/>
          <w:szCs w:val="44"/>
          <w:lang w:val="en-US" w:eastAsia="zh-CN"/>
        </w:rPr>
      </w:pPr>
      <w:r>
        <w:rPr>
          <w:rFonts w:hint="eastAsia"/>
          <w:b/>
          <w:bCs/>
          <w:sz w:val="44"/>
          <w:szCs w:val="44"/>
        </w:rPr>
        <w:t>承</w:t>
      </w:r>
      <w:r>
        <w:rPr>
          <w:rFonts w:hint="eastAsia"/>
          <w:b/>
          <w:bCs/>
          <w:sz w:val="44"/>
          <w:szCs w:val="44"/>
          <w:lang w:val="en-US" w:eastAsia="zh-CN"/>
        </w:rPr>
        <w:t xml:space="preserve">  </w:t>
      </w:r>
      <w:r>
        <w:rPr>
          <w:rFonts w:hint="eastAsia"/>
          <w:b/>
          <w:bCs/>
          <w:sz w:val="44"/>
          <w:szCs w:val="44"/>
        </w:rPr>
        <w:t>诺</w:t>
      </w:r>
      <w:r>
        <w:rPr>
          <w:rFonts w:hint="eastAsia"/>
          <w:b/>
          <w:bCs/>
          <w:sz w:val="44"/>
          <w:szCs w:val="44"/>
          <w:lang w:val="en-US" w:eastAsia="zh-CN"/>
        </w:rPr>
        <w:t xml:space="preserve">  </w:t>
      </w:r>
      <w:r>
        <w:rPr>
          <w:rFonts w:hint="eastAsia"/>
          <w:b/>
          <w:bCs/>
          <w:sz w:val="44"/>
          <w:szCs w:val="44"/>
        </w:rPr>
        <w:t>书</w:t>
      </w:r>
      <w:r>
        <w:rPr>
          <w:rFonts w:hint="eastAsia"/>
          <w:b/>
          <w:bCs/>
          <w:sz w:val="44"/>
          <w:szCs w:val="44"/>
          <w:lang w:val="en-US" w:eastAsia="zh-CN"/>
        </w:rPr>
        <w:t xml:space="preserve"> </w:t>
      </w:r>
    </w:p>
    <w:p>
      <w:pPr>
        <w:spacing w:line="460" w:lineRule="exact"/>
        <w:jc w:val="center"/>
        <w:rPr>
          <w:b/>
          <w:bCs/>
          <w:sz w:val="24"/>
          <w:szCs w:val="24"/>
        </w:rPr>
      </w:pPr>
    </w:p>
    <w:p>
      <w:pPr>
        <w:spacing w:line="460" w:lineRule="exact"/>
        <w:ind w:firstLine="560"/>
        <w:rPr>
          <w:rFonts w:hint="eastAsia"/>
          <w:color w:val="auto"/>
          <w:sz w:val="24"/>
          <w:szCs w:val="24"/>
        </w:rPr>
      </w:pPr>
      <w:r>
        <w:rPr>
          <w:rFonts w:hint="eastAsia"/>
          <w:color w:val="auto"/>
          <w:sz w:val="24"/>
          <w:szCs w:val="24"/>
        </w:rPr>
        <w:t>委托人委托广东秦仪律师事务</w:t>
      </w:r>
      <w:r>
        <w:rPr>
          <w:rFonts w:hint="eastAsia" w:ascii="宋体" w:hAnsi="宋体" w:eastAsia="宋体" w:cs="宋体"/>
          <w:color w:val="auto"/>
          <w:sz w:val="24"/>
          <w:szCs w:val="24"/>
        </w:rPr>
        <w:t>所向</w:t>
      </w:r>
      <w:r>
        <w:rPr>
          <w:rFonts w:hint="eastAsia" w:ascii="宋体" w:hAnsi="宋体" w:cs="宋体"/>
          <w:color w:val="auto"/>
          <w:sz w:val="24"/>
          <w:szCs w:val="24"/>
          <w:u w:val="single"/>
          <w:lang w:val="en-US" w:eastAsia="zh-CN"/>
        </w:rPr>
        <w:t xml:space="preserve"> 江苏杨辉物业服务有限公司 </w:t>
      </w:r>
      <w:r>
        <w:rPr>
          <w:rFonts w:hint="eastAsia"/>
          <w:color w:val="auto"/>
          <w:sz w:val="24"/>
          <w:szCs w:val="24"/>
        </w:rPr>
        <w:t xml:space="preserve">致发律师函，委托人陈述的事实真实无误，若广东秦仪律师事务所或发函律师因该函陈述的事实为虚假事实而被追究法律责任，委托人愿为此承担一切赔偿责任。 </w:t>
      </w:r>
    </w:p>
    <w:p>
      <w:pPr>
        <w:spacing w:line="460" w:lineRule="exact"/>
        <w:ind w:firstLine="560"/>
        <w:rPr>
          <w:rFonts w:hint="eastAsia"/>
          <w:color w:val="auto"/>
          <w:sz w:val="24"/>
          <w:szCs w:val="24"/>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color w:val="auto"/>
          <w:sz w:val="24"/>
          <w:szCs w:val="24"/>
        </w:rPr>
      </w:pP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委托人（</w:t>
      </w:r>
      <w:r>
        <w:rPr>
          <w:rFonts w:hint="eastAsia"/>
          <w:color w:val="auto"/>
          <w:sz w:val="24"/>
          <w:szCs w:val="24"/>
          <w:lang w:eastAsia="zh-CN"/>
        </w:rPr>
        <w:t>盖章</w:t>
      </w:r>
      <w:r>
        <w:rPr>
          <w:rFonts w:hint="eastAsia"/>
          <w:color w:val="auto"/>
          <w:sz w:val="24"/>
          <w:szCs w:val="24"/>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eastAsia="宋体"/>
          <w:color w:val="auto"/>
          <w:sz w:val="24"/>
          <w:szCs w:val="24"/>
          <w:lang w:val="en-US" w:eastAsia="zh-CN"/>
        </w:rPr>
      </w:pPr>
      <w:r>
        <w:rPr>
          <w:rFonts w:hint="eastAsia"/>
          <w:color w:val="auto"/>
          <w:sz w:val="24"/>
          <w:szCs w:val="24"/>
          <w:lang w:val="en-US" w:eastAsia="zh-CN"/>
        </w:rPr>
        <w:t xml:space="preserve">                                     授权人/法人代表（签名）：</w:t>
      </w:r>
    </w:p>
    <w:p>
      <w:pPr>
        <w:spacing w:line="460" w:lineRule="exact"/>
        <w:ind w:left="4560" w:hanging="4560" w:hangingChars="1900"/>
        <w:rPr>
          <w:rFonts w:hint="eastAsia"/>
          <w:color w:val="auto"/>
          <w:sz w:val="24"/>
          <w:szCs w:val="24"/>
          <w:lang w:val="en-US" w:eastAsia="zh-CN"/>
        </w:rPr>
      </w:pPr>
      <w:r>
        <w:rPr>
          <w:rFonts w:hint="eastAsia"/>
          <w:color w:val="auto"/>
          <w:sz w:val="24"/>
          <w:szCs w:val="24"/>
          <w:lang w:val="en-US" w:eastAsia="zh-CN"/>
        </w:rPr>
        <w:t xml:space="preserve">                                        年   月   日</w:t>
      </w:r>
      <w:r>
        <w:rPr>
          <w:rFonts w:hint="eastAsia"/>
          <w:color w:val="auto"/>
          <w:sz w:val="24"/>
          <w:szCs w:val="24"/>
        </w:rPr>
        <w:t xml:space="preserve"> </w:t>
      </w:r>
    </w:p>
    <w:p>
      <w:pPr>
        <w:spacing w:line="460" w:lineRule="exact"/>
        <w:ind w:firstLine="480" w:firstLineChars="200"/>
        <w:jc w:val="right"/>
        <w:rPr>
          <w:color w:val="auto"/>
          <w:sz w:val="24"/>
          <w:szCs w:val="24"/>
        </w:rPr>
      </w:pPr>
      <w:r>
        <w:rPr>
          <w:rFonts w:hint="eastAsia"/>
          <w:color w:val="auto"/>
          <w:sz w:val="24"/>
          <w:szCs w:val="24"/>
          <w:lang w:val="en-US" w:eastAsia="zh-CN"/>
        </w:rPr>
        <w:t xml:space="preserve">                       </w:t>
      </w:r>
      <w:r>
        <w:rPr>
          <w:rFonts w:hint="eastAsia"/>
          <w:color w:val="auto"/>
          <w:sz w:val="24"/>
          <w:szCs w:val="24"/>
        </w:rPr>
        <w:t xml:space="preserve"> </w:t>
      </w:r>
    </w:p>
    <w:p>
      <w:pPr>
        <w:spacing w:line="460" w:lineRule="exact"/>
        <w:rPr>
          <w:b/>
          <w:bCs/>
          <w:color w:val="auto"/>
          <w:sz w:val="24"/>
          <w:szCs w:val="24"/>
        </w:rPr>
      </w:pPr>
      <w:r>
        <w:rPr>
          <w:rFonts w:hint="eastAsia"/>
          <w:b/>
          <w:bCs/>
          <w:color w:val="auto"/>
          <w:sz w:val="24"/>
          <w:szCs w:val="24"/>
        </w:rPr>
        <w:t>寄发律师函的风险提示：</w:t>
      </w:r>
      <w:r>
        <w:rPr>
          <w:rFonts w:hint="eastAsia"/>
          <w:b/>
          <w:bCs/>
          <w:color w:val="auto"/>
          <w:sz w:val="24"/>
          <w:szCs w:val="24"/>
        </w:rPr>
        <w:sym w:font="Wingdings" w:char="F081"/>
      </w:r>
      <w:r>
        <w:rPr>
          <w:rFonts w:hint="eastAsia"/>
          <w:b/>
          <w:bCs/>
          <w:color w:val="auto"/>
          <w:sz w:val="24"/>
          <w:szCs w:val="24"/>
        </w:rPr>
        <w:t>对方可能转移财产；</w:t>
      </w:r>
      <w:r>
        <w:rPr>
          <w:rFonts w:hint="eastAsia"/>
          <w:b/>
          <w:bCs/>
          <w:color w:val="auto"/>
          <w:sz w:val="24"/>
          <w:szCs w:val="24"/>
        </w:rPr>
        <w:sym w:font="Wingdings" w:char="F082"/>
      </w:r>
      <w:r>
        <w:rPr>
          <w:rFonts w:hint="eastAsia"/>
          <w:b/>
          <w:bCs/>
          <w:color w:val="auto"/>
          <w:sz w:val="24"/>
          <w:szCs w:val="24"/>
        </w:rPr>
        <w:t>对方可能会毁灭证据；</w:t>
      </w:r>
      <w:r>
        <w:rPr>
          <w:rFonts w:hint="eastAsia"/>
          <w:b/>
          <w:bCs/>
          <w:color w:val="auto"/>
          <w:sz w:val="24"/>
          <w:szCs w:val="24"/>
        </w:rPr>
        <w:sym w:font="Wingdings" w:char="F083"/>
      </w:r>
      <w:r>
        <w:rPr>
          <w:rFonts w:hint="eastAsia"/>
          <w:b/>
          <w:bCs/>
          <w:color w:val="auto"/>
          <w:sz w:val="24"/>
          <w:szCs w:val="24"/>
        </w:rPr>
        <w:t>对方可能提前防范，做好充足的应诉准备或提起反诉。</w:t>
      </w:r>
    </w:p>
    <w:sectPr>
      <w:headerReference r:id="rId3" w:type="default"/>
      <w:footerReference r:id="rId4" w:type="default"/>
      <w:pgSz w:w="11906" w:h="16838"/>
      <w:pgMar w:top="1440" w:right="1304" w:bottom="1440" w:left="1361" w:header="227" w:footer="227"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DFKai-SB">
    <w:panose1 w:val="03000509000000000000"/>
    <w:charset w:val="88"/>
    <w:family w:val="script"/>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1"/>
        <w:szCs w:val="21"/>
      </w:rPr>
    </w:pPr>
    <w:r>
      <w:rPr>
        <w:rFonts w:hint="eastAsia"/>
      </w:rPr>
      <w:drawing>
        <wp:anchor distT="0" distB="0" distL="114300" distR="114300" simplePos="0" relativeHeight="251661312" behindDoc="0" locked="0" layoutInCell="1" allowOverlap="1">
          <wp:simplePos x="0" y="0"/>
          <wp:positionH relativeFrom="column">
            <wp:posOffset>50800</wp:posOffset>
          </wp:positionH>
          <wp:positionV relativeFrom="paragraph">
            <wp:posOffset>9525</wp:posOffset>
          </wp:positionV>
          <wp:extent cx="297815" cy="294640"/>
          <wp:effectExtent l="19050" t="0" r="6985" b="0"/>
          <wp:wrapTopAndBottom/>
          <wp:docPr id="1" name="图片 1" descr="logo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定"/>
                  <pic:cNvPicPr>
                    <a:picLocks noChangeAspect="1" noChangeArrowheads="1"/>
                  </pic:cNvPicPr>
                </pic:nvPicPr>
                <pic:blipFill>
                  <a:blip r:embed="rId1"/>
                  <a:srcRect/>
                  <a:stretch>
                    <a:fillRect/>
                  </a:stretch>
                </pic:blipFill>
                <pic:spPr>
                  <a:xfrm>
                    <a:off x="0" y="0"/>
                    <a:ext cx="297815" cy="294640"/>
                  </a:xfrm>
                  <a:prstGeom prst="rect">
                    <a:avLst/>
                  </a:prstGeom>
                  <a:noFill/>
                  <a:ln w="9525" cmpd="sng">
                    <a:noFill/>
                    <a:miter lim="800000"/>
                    <a:headEnd/>
                    <a:tailEnd/>
                  </a:ln>
                </pic:spPr>
              </pic:pic>
            </a:graphicData>
          </a:graphic>
        </wp:anchor>
      </w:drawing>
    </w:r>
    <w:r>
      <w:rPr>
        <w:rFonts w:hint="eastAsia"/>
        <w:sz w:val="21"/>
        <w:szCs w:val="21"/>
      </w:rPr>
      <w:t xml:space="preserve">      广东秦仪律师事务所</w:t>
    </w:r>
  </w:p>
  <w:p>
    <w:pPr>
      <w:pStyle w:val="3"/>
      <w:jc w:val="both"/>
      <w:rPr>
        <w:rFonts w:hint="eastAsia" w:eastAsia="宋体"/>
        <w:lang w:val="en-US" w:eastAsia="zh-CN"/>
      </w:rPr>
    </w:pPr>
    <w:r>
      <w:rPr>
        <w:rFonts w:hint="eastAsia"/>
      </w:rPr>
      <w:t xml:space="preserve">       地址：东莞松山湖高新技术产业开发区总部二路4号光大We谷B1栋1601室    电话/传真：0769-</w:t>
    </w:r>
    <w:r>
      <w:rPr>
        <w:rFonts w:hint="eastAsia"/>
        <w:lang w:val="en-US" w:eastAsia="zh-CN"/>
      </w:rPr>
      <w:t>22232844</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jc w:val="distribute"/>
      <w:rPr>
        <w:rFonts w:ascii="黑体" w:hAnsi="黑体" w:eastAsia="黑体" w:cs="黑体"/>
        <w:sz w:val="30"/>
        <w:szCs w:val="30"/>
      </w:rPr>
    </w:pPr>
    <w:r>
      <w:rPr>
        <w:rFonts w:hint="eastAsia"/>
        <w:sz w:val="30"/>
        <w:szCs w:val="30"/>
      </w:rPr>
      <w:drawing>
        <wp:anchor distT="0" distB="0" distL="114300" distR="114300" simplePos="0" relativeHeight="251659264" behindDoc="0" locked="0" layoutInCell="1" allowOverlap="1">
          <wp:simplePos x="0" y="0"/>
          <wp:positionH relativeFrom="column">
            <wp:posOffset>-95250</wp:posOffset>
          </wp:positionH>
          <wp:positionV relativeFrom="paragraph">
            <wp:posOffset>-67945</wp:posOffset>
          </wp:positionV>
          <wp:extent cx="542925" cy="542925"/>
          <wp:effectExtent l="19050" t="0" r="9525" b="0"/>
          <wp:wrapSquare wrapText="bothSides"/>
          <wp:docPr id="3" name="图片 3" descr="logo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定"/>
                  <pic:cNvPicPr>
                    <a:picLocks noChangeAspect="1" noChangeArrowheads="1"/>
                  </pic:cNvPicPr>
                </pic:nvPicPr>
                <pic:blipFill>
                  <a:blip r:embed="rId1"/>
                  <a:srcRect/>
                  <a:stretch>
                    <a:fillRect/>
                  </a:stretch>
                </pic:blipFill>
                <pic:spPr>
                  <a:xfrm>
                    <a:off x="0" y="0"/>
                    <a:ext cx="542925" cy="542925"/>
                  </a:xfrm>
                  <a:prstGeom prst="rect">
                    <a:avLst/>
                  </a:prstGeom>
                  <a:noFill/>
                  <a:ln w="9525" cmpd="sng">
                    <a:noFill/>
                    <a:miter lim="800000"/>
                    <a:headEnd/>
                    <a:tailEnd/>
                  </a:ln>
                </pic:spPr>
              </pic:pic>
            </a:graphicData>
          </a:graphic>
        </wp:anchor>
      </w:drawing>
    </w:r>
    <w:r>
      <w:rPr>
        <w:rFonts w:hint="eastAsia"/>
        <w:sz w:val="30"/>
        <w:szCs w:val="30"/>
      </w:rPr>
      <w:t xml:space="preserve">     </w:t>
    </w:r>
    <w:r>
      <w:rPr>
        <w:rFonts w:hint="eastAsia" w:ascii="黑体" w:hAnsi="黑体" w:eastAsia="黑体" w:cs="黑体"/>
        <w:sz w:val="30"/>
        <w:szCs w:val="30"/>
      </w:rPr>
      <w:t>广东秦仪律师事务所</w:t>
    </w:r>
  </w:p>
  <w:p>
    <w:pPr>
      <w:pStyle w:val="4"/>
      <w:pBdr>
        <w:bottom w:val="single" w:color="auto" w:sz="6" w:space="0"/>
      </w:pBdr>
      <w:jc w:val="distribute"/>
      <w:rPr>
        <w:rFonts w:ascii="黑体" w:hAnsi="黑体" w:eastAsia="黑体" w:cs="黑体"/>
        <w:sz w:val="30"/>
        <w:szCs w:val="30"/>
      </w:rPr>
    </w:pPr>
    <w:r>
      <w:rPr>
        <w:rFonts w:hint="eastAsia" w:ascii="黑体" w:hAnsi="黑体" w:eastAsia="黑体" w:cs="黑体"/>
        <w:sz w:val="30"/>
        <w:szCs w:val="30"/>
      </w:rPr>
      <w:t xml:space="preserve">          GUANGDONG QINYI LAW FIRM</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844D01"/>
    <w:rsid w:val="000503CE"/>
    <w:rsid w:val="00095E0C"/>
    <w:rsid w:val="001103B0"/>
    <w:rsid w:val="00114342"/>
    <w:rsid w:val="001C041F"/>
    <w:rsid w:val="001D63EC"/>
    <w:rsid w:val="002560A3"/>
    <w:rsid w:val="00433A16"/>
    <w:rsid w:val="00467EF1"/>
    <w:rsid w:val="0075668F"/>
    <w:rsid w:val="009D3050"/>
    <w:rsid w:val="009E3BDC"/>
    <w:rsid w:val="00A23453"/>
    <w:rsid w:val="00A72ABD"/>
    <w:rsid w:val="00C109BC"/>
    <w:rsid w:val="00C125AF"/>
    <w:rsid w:val="00D31117"/>
    <w:rsid w:val="00D54D55"/>
    <w:rsid w:val="00E16B29"/>
    <w:rsid w:val="00F40835"/>
    <w:rsid w:val="016A35EE"/>
    <w:rsid w:val="02EC7912"/>
    <w:rsid w:val="045F1FCF"/>
    <w:rsid w:val="04A70CA4"/>
    <w:rsid w:val="04B114C1"/>
    <w:rsid w:val="04BF4F8E"/>
    <w:rsid w:val="05325D58"/>
    <w:rsid w:val="06404DA3"/>
    <w:rsid w:val="06D05DEB"/>
    <w:rsid w:val="07603E53"/>
    <w:rsid w:val="084B074F"/>
    <w:rsid w:val="095F4D0D"/>
    <w:rsid w:val="0BF770B7"/>
    <w:rsid w:val="0E3C5116"/>
    <w:rsid w:val="0F7B2287"/>
    <w:rsid w:val="0FAE75C9"/>
    <w:rsid w:val="100C5E91"/>
    <w:rsid w:val="113B0B02"/>
    <w:rsid w:val="12B308A5"/>
    <w:rsid w:val="1347721B"/>
    <w:rsid w:val="13DB5C42"/>
    <w:rsid w:val="13EC1991"/>
    <w:rsid w:val="145F576A"/>
    <w:rsid w:val="146C3844"/>
    <w:rsid w:val="148B208E"/>
    <w:rsid w:val="187C4B13"/>
    <w:rsid w:val="18844D01"/>
    <w:rsid w:val="1A273BBB"/>
    <w:rsid w:val="1AB200A7"/>
    <w:rsid w:val="1AD001FC"/>
    <w:rsid w:val="1B115C5A"/>
    <w:rsid w:val="1B1C7830"/>
    <w:rsid w:val="1BFB4F9A"/>
    <w:rsid w:val="1E3A4DE3"/>
    <w:rsid w:val="1EFB307E"/>
    <w:rsid w:val="1FC45D47"/>
    <w:rsid w:val="21086A58"/>
    <w:rsid w:val="21E67E1A"/>
    <w:rsid w:val="23D36C0E"/>
    <w:rsid w:val="24576EFA"/>
    <w:rsid w:val="2469790C"/>
    <w:rsid w:val="27187363"/>
    <w:rsid w:val="27BE30CA"/>
    <w:rsid w:val="284A7ED7"/>
    <w:rsid w:val="2CDB3FC0"/>
    <w:rsid w:val="2DAC6AEF"/>
    <w:rsid w:val="2DD429AE"/>
    <w:rsid w:val="2E3B4D42"/>
    <w:rsid w:val="2EC30357"/>
    <w:rsid w:val="2F3A7E58"/>
    <w:rsid w:val="303104A7"/>
    <w:rsid w:val="33517536"/>
    <w:rsid w:val="34063D46"/>
    <w:rsid w:val="35513248"/>
    <w:rsid w:val="356E5D84"/>
    <w:rsid w:val="36726067"/>
    <w:rsid w:val="37DF65BA"/>
    <w:rsid w:val="38B8482F"/>
    <w:rsid w:val="39334339"/>
    <w:rsid w:val="39924FF0"/>
    <w:rsid w:val="3CF771B0"/>
    <w:rsid w:val="3E6163F5"/>
    <w:rsid w:val="3E966194"/>
    <w:rsid w:val="3F7D7339"/>
    <w:rsid w:val="42600B18"/>
    <w:rsid w:val="42D739EA"/>
    <w:rsid w:val="435024E4"/>
    <w:rsid w:val="44425718"/>
    <w:rsid w:val="45723E38"/>
    <w:rsid w:val="45A108DC"/>
    <w:rsid w:val="466E5C20"/>
    <w:rsid w:val="46A35710"/>
    <w:rsid w:val="482174E9"/>
    <w:rsid w:val="48CB1051"/>
    <w:rsid w:val="490F4FC3"/>
    <w:rsid w:val="499B07CF"/>
    <w:rsid w:val="4AA456BD"/>
    <w:rsid w:val="4AA737EB"/>
    <w:rsid w:val="4AE617B4"/>
    <w:rsid w:val="4B08734E"/>
    <w:rsid w:val="4C9335DB"/>
    <w:rsid w:val="4CAD23FA"/>
    <w:rsid w:val="4D424B57"/>
    <w:rsid w:val="4D654D37"/>
    <w:rsid w:val="4E7A1E00"/>
    <w:rsid w:val="4F255297"/>
    <w:rsid w:val="4F306B3D"/>
    <w:rsid w:val="549153BE"/>
    <w:rsid w:val="55C24605"/>
    <w:rsid w:val="56D467CC"/>
    <w:rsid w:val="58BA6E48"/>
    <w:rsid w:val="59EC4DF5"/>
    <w:rsid w:val="5A574754"/>
    <w:rsid w:val="5B942F55"/>
    <w:rsid w:val="5B9E7DD4"/>
    <w:rsid w:val="5C914671"/>
    <w:rsid w:val="5D854634"/>
    <w:rsid w:val="5DCA168D"/>
    <w:rsid w:val="60A2257E"/>
    <w:rsid w:val="61E7221A"/>
    <w:rsid w:val="63157181"/>
    <w:rsid w:val="63E5105A"/>
    <w:rsid w:val="6480304B"/>
    <w:rsid w:val="66242E46"/>
    <w:rsid w:val="66521E73"/>
    <w:rsid w:val="66A372E7"/>
    <w:rsid w:val="66CB4B97"/>
    <w:rsid w:val="66E3478A"/>
    <w:rsid w:val="680A3341"/>
    <w:rsid w:val="6A4042C1"/>
    <w:rsid w:val="6C1F6B12"/>
    <w:rsid w:val="6CE5095C"/>
    <w:rsid w:val="6D840709"/>
    <w:rsid w:val="6E511D53"/>
    <w:rsid w:val="72D752F9"/>
    <w:rsid w:val="7361464C"/>
    <w:rsid w:val="73A96864"/>
    <w:rsid w:val="7613352D"/>
    <w:rsid w:val="764D56EC"/>
    <w:rsid w:val="77F47445"/>
    <w:rsid w:val="780F415B"/>
    <w:rsid w:val="7BA17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cs="DFKai-SB" w:asciiTheme="minorHAnsi" w:hAnsiTheme="minorHAnsi"/>
      <w:color w:val="000000" w:themeColor="text1"/>
      <w:sz w:val="28"/>
      <w:szCs w:val="28"/>
      <w:lang w:val="en-US" w:eastAsia="zh-CN" w:bidi="ar-SA"/>
      <w14:textFill>
        <w14:solidFill>
          <w14:schemeClr w14:val="tx1"/>
        </w14:solidFill>
      </w14:textFill>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eastAsia="宋体" w:cs="DFKai-SB"/>
      <w:color w:val="000000" w:themeColor="text1"/>
      <w:sz w:val="18"/>
      <w:szCs w:val="18"/>
      <w14:textFill>
        <w14:solidFill>
          <w14:schemeClr w14:val="tx1"/>
        </w14:solidFill>
      </w14:textFill>
    </w:rPr>
  </w:style>
  <w:style w:type="character" w:customStyle="1" w:styleId="8">
    <w:name w:val="页脚 Char"/>
    <w:basedOn w:val="6"/>
    <w:link w:val="3"/>
    <w:qFormat/>
    <w:uiPriority w:val="0"/>
    <w:rPr>
      <w:rFonts w:eastAsia="宋体" w:cs="DFKai-SB"/>
      <w:color w:val="000000" w:themeColor="text1"/>
      <w:sz w:val="18"/>
      <w:szCs w:val="18"/>
      <w14:textFill>
        <w14:solidFill>
          <w14:schemeClr w14:val="tx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102</Words>
  <Characters>582</Characters>
  <Lines>4</Lines>
  <Paragraphs>1</Paragraphs>
  <TotalTime>7</TotalTime>
  <ScaleCrop>false</ScaleCrop>
  <LinksUpToDate>false</LinksUpToDate>
  <CharactersWithSpaces>683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2017-07-14T03:56:00Z</dcterms:created>
  <dc:creator>Administrator</dc:creator>
  <cp:lastModifiedBy>a</cp:lastModifiedBy>
  <dcterms:modified xsi:type="dcterms:W3CDTF">2021-01-20T08:39:39Z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