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b/>
          <w:bCs/>
          <w:color w:val="000000"/>
          <w:sz w:val="44"/>
          <w:szCs w:val="44"/>
        </w:rPr>
      </w:pPr>
    </w:p>
    <w:p>
      <w:pPr>
        <w:spacing w:line="360" w:lineRule="auto"/>
        <w:jc w:val="center"/>
        <w:rPr>
          <w:rFonts w:hint="eastAsia" w:ascii="黑体" w:eastAsia="黑体"/>
          <w:b/>
          <w:bCs/>
          <w:color w:val="000000"/>
          <w:sz w:val="44"/>
          <w:szCs w:val="44"/>
        </w:rPr>
      </w:pPr>
    </w:p>
    <w:p>
      <w:pPr>
        <w:spacing w:line="360" w:lineRule="auto"/>
        <w:jc w:val="center"/>
        <w:rPr>
          <w:rFonts w:hint="default" w:ascii="黑体" w:hAnsi="黑体" w:eastAsia="黑体" w:cs="黑体"/>
          <w:b w:val="0"/>
          <w:bCs/>
          <w:sz w:val="44"/>
          <w:szCs w:val="44"/>
          <w:lang w:val="en-US" w:eastAsia="zh-CN"/>
        </w:rPr>
      </w:pPr>
      <w:r>
        <w:rPr>
          <w:rFonts w:hint="eastAsia" w:ascii="黑体" w:hAnsi="黑体" w:eastAsia="黑体" w:cs="黑体"/>
          <w:b w:val="0"/>
          <w:bCs/>
          <w:sz w:val="44"/>
          <w:szCs w:val="44"/>
        </w:rPr>
        <w:t>成都市</w:t>
      </w:r>
      <w:r>
        <w:rPr>
          <w:rFonts w:hint="eastAsia" w:ascii="黑体" w:hAnsi="黑体" w:eastAsia="黑体" w:cs="黑体"/>
          <w:b w:val="0"/>
          <w:bCs/>
          <w:sz w:val="44"/>
          <w:szCs w:val="44"/>
          <w:lang w:eastAsia="zh-CN"/>
        </w:rPr>
        <w:t>妇女儿童中心</w:t>
      </w:r>
      <w:r>
        <w:rPr>
          <w:rFonts w:hint="eastAsia" w:ascii="黑体" w:hAnsi="黑体" w:eastAsia="黑体" w:cs="黑体"/>
          <w:b w:val="0"/>
          <w:bCs/>
          <w:sz w:val="44"/>
          <w:szCs w:val="44"/>
          <w:lang w:val="en-US" w:eastAsia="zh-CN"/>
        </w:rPr>
        <w:t>物业服务中心</w:t>
      </w:r>
    </w:p>
    <w:p>
      <w:pPr>
        <w:spacing w:line="360" w:lineRule="auto"/>
        <w:jc w:val="center"/>
        <w:rPr>
          <w:rFonts w:hint="eastAsia" w:ascii="黑体" w:hAnsi="黑体" w:eastAsia="黑体" w:cs="黑体"/>
          <w:b w:val="0"/>
          <w:bCs/>
          <w:sz w:val="44"/>
          <w:szCs w:val="44"/>
          <w:lang w:eastAsia="zh-CN"/>
        </w:rPr>
      </w:pPr>
    </w:p>
    <w:p>
      <w:pPr>
        <w:spacing w:line="360" w:lineRule="auto"/>
        <w:jc w:val="center"/>
        <w:rPr>
          <w:rFonts w:hint="eastAsia" w:ascii="黑体" w:eastAsia="黑体"/>
          <w:b w:val="0"/>
          <w:bCs/>
          <w:color w:val="000000"/>
          <w:sz w:val="36"/>
          <w:szCs w:val="36"/>
          <w:lang w:val="en-US" w:eastAsia="zh-CN"/>
        </w:rPr>
      </w:pPr>
      <w:r>
        <w:rPr>
          <w:rFonts w:hint="eastAsia" w:ascii="黑体" w:eastAsia="黑体"/>
          <w:b w:val="0"/>
          <w:bCs/>
          <w:color w:val="000000"/>
          <w:sz w:val="36"/>
          <w:szCs w:val="36"/>
          <w:lang w:val="en-US" w:eastAsia="zh-CN"/>
        </w:rPr>
        <w:t>合同编号：HC[2021]FEZX-002</w:t>
      </w:r>
    </w:p>
    <w:p>
      <w:pPr>
        <w:spacing w:line="360" w:lineRule="auto"/>
        <w:jc w:val="center"/>
        <w:rPr>
          <w:rFonts w:hint="eastAsia" w:ascii="黑体" w:eastAsia="黑体"/>
          <w:b w:val="0"/>
          <w:bCs/>
          <w:color w:val="000000"/>
          <w:sz w:val="48"/>
        </w:rPr>
      </w:pPr>
    </w:p>
    <w:p>
      <w:pPr>
        <w:spacing w:line="360" w:lineRule="auto"/>
        <w:jc w:val="center"/>
        <w:rPr>
          <w:rFonts w:hint="eastAsia" w:ascii="黑体" w:eastAsia="黑体"/>
          <w:b w:val="0"/>
          <w:bCs/>
          <w:color w:val="000000"/>
          <w:sz w:val="48"/>
        </w:rPr>
      </w:pPr>
    </w:p>
    <w:p>
      <w:pPr>
        <w:spacing w:line="360" w:lineRule="auto"/>
        <w:jc w:val="center"/>
        <w:rPr>
          <w:rFonts w:hint="eastAsia" w:ascii="黑体" w:eastAsia="黑体"/>
          <w:b w:val="0"/>
          <w:bCs/>
          <w:color w:val="000000"/>
          <w:sz w:val="72"/>
        </w:rPr>
      </w:pPr>
      <w:r>
        <w:rPr>
          <w:rFonts w:hint="eastAsia" w:ascii="黑体" w:eastAsia="黑体"/>
          <w:b w:val="0"/>
          <w:bCs/>
          <w:color w:val="000000"/>
          <w:sz w:val="72"/>
        </w:rPr>
        <w:t>直燃型冷热水机组</w:t>
      </w:r>
    </w:p>
    <w:p>
      <w:pPr>
        <w:spacing w:line="360" w:lineRule="auto"/>
        <w:jc w:val="center"/>
        <w:rPr>
          <w:rFonts w:hint="eastAsia" w:ascii="黑体" w:eastAsia="黑体"/>
          <w:b w:val="0"/>
          <w:bCs/>
          <w:color w:val="000000"/>
          <w:sz w:val="72"/>
        </w:rPr>
      </w:pPr>
      <w:r>
        <w:rPr>
          <w:rFonts w:hint="eastAsia" w:ascii="黑体" w:eastAsia="黑体"/>
          <w:b w:val="0"/>
          <w:bCs/>
          <w:color w:val="000000"/>
          <w:sz w:val="72"/>
        </w:rPr>
        <w:t>维护保养服务合同</w:t>
      </w:r>
    </w:p>
    <w:p>
      <w:pPr>
        <w:spacing w:line="360" w:lineRule="auto"/>
        <w:jc w:val="center"/>
        <w:rPr>
          <w:rFonts w:hint="eastAsia" w:ascii="黑体" w:eastAsia="黑体"/>
          <w:b/>
          <w:bCs/>
          <w:color w:val="000000"/>
          <w:sz w:val="44"/>
        </w:rPr>
      </w:pPr>
    </w:p>
    <w:p>
      <w:pPr>
        <w:spacing w:line="360" w:lineRule="auto"/>
        <w:jc w:val="center"/>
        <w:rPr>
          <w:rFonts w:hint="eastAsia" w:ascii="黑体" w:eastAsia="黑体"/>
          <w:b/>
          <w:bCs/>
          <w:color w:val="000000"/>
          <w:sz w:val="44"/>
        </w:rPr>
      </w:pPr>
    </w:p>
    <w:p>
      <w:pPr>
        <w:spacing w:line="360" w:lineRule="auto"/>
        <w:jc w:val="center"/>
        <w:rPr>
          <w:rFonts w:hint="eastAsia" w:ascii="黑体" w:eastAsia="黑体"/>
          <w:b/>
          <w:bCs/>
          <w:color w:val="000000"/>
          <w:sz w:val="44"/>
        </w:rPr>
      </w:pPr>
    </w:p>
    <w:p>
      <w:pPr>
        <w:spacing w:line="360" w:lineRule="auto"/>
        <w:jc w:val="center"/>
        <w:rPr>
          <w:rFonts w:hint="eastAsia" w:ascii="黑体" w:eastAsia="黑体"/>
          <w:b w:val="0"/>
          <w:bCs w:val="0"/>
          <w:color w:val="000000"/>
          <w:sz w:val="30"/>
        </w:rPr>
      </w:pPr>
      <w:r>
        <w:rPr>
          <w:rFonts w:hint="eastAsia" w:ascii="黑体" w:eastAsia="黑体"/>
          <w:b w:val="0"/>
          <w:bCs w:val="0"/>
          <w:color w:val="000000"/>
          <w:sz w:val="30"/>
        </w:rPr>
        <w:t>有效期：</w:t>
      </w:r>
      <w:r>
        <w:rPr>
          <w:rFonts w:hint="eastAsia" w:ascii="黑体" w:eastAsia="黑体"/>
          <w:b w:val="0"/>
          <w:bCs w:val="0"/>
          <w:color w:val="000000"/>
          <w:sz w:val="30"/>
          <w:lang w:val="en-US" w:eastAsia="zh-CN"/>
        </w:rPr>
        <w:t>2021</w:t>
      </w:r>
      <w:r>
        <w:rPr>
          <w:rFonts w:hint="eastAsia" w:ascii="黑体" w:eastAsia="黑体"/>
          <w:b w:val="0"/>
          <w:bCs w:val="0"/>
          <w:color w:val="000000"/>
          <w:sz w:val="30"/>
        </w:rPr>
        <w:t>年</w:t>
      </w:r>
      <w:r>
        <w:rPr>
          <w:rFonts w:hint="eastAsia" w:ascii="黑体" w:eastAsia="黑体"/>
          <w:b w:val="0"/>
          <w:bCs w:val="0"/>
          <w:color w:val="000000"/>
          <w:sz w:val="30"/>
          <w:lang w:val="en-US" w:eastAsia="zh-CN"/>
        </w:rPr>
        <w:t>1</w:t>
      </w:r>
      <w:r>
        <w:rPr>
          <w:rFonts w:hint="eastAsia" w:ascii="黑体" w:eastAsia="黑体"/>
          <w:b w:val="0"/>
          <w:bCs w:val="0"/>
          <w:color w:val="000000"/>
          <w:sz w:val="30"/>
        </w:rPr>
        <w:t>月</w:t>
      </w:r>
      <w:r>
        <w:rPr>
          <w:rFonts w:hint="eastAsia" w:ascii="黑体" w:eastAsia="黑体"/>
          <w:b w:val="0"/>
          <w:bCs w:val="0"/>
          <w:color w:val="000000"/>
          <w:sz w:val="30"/>
          <w:lang w:val="en-US" w:eastAsia="zh-CN"/>
        </w:rPr>
        <w:t>1</w:t>
      </w:r>
      <w:r>
        <w:rPr>
          <w:rFonts w:hint="eastAsia" w:ascii="黑体" w:eastAsia="黑体"/>
          <w:b w:val="0"/>
          <w:bCs w:val="0"/>
          <w:color w:val="000000"/>
          <w:sz w:val="30"/>
        </w:rPr>
        <w:t>日</w:t>
      </w:r>
      <w:r>
        <w:rPr>
          <w:rFonts w:hint="eastAsia" w:ascii="黑体" w:eastAsia="黑体"/>
          <w:b w:val="0"/>
          <w:bCs w:val="0"/>
          <w:color w:val="000000"/>
          <w:sz w:val="30"/>
          <w:lang w:val="en-US" w:eastAsia="zh-CN"/>
        </w:rPr>
        <w:t xml:space="preserve"> </w:t>
      </w:r>
      <w:r>
        <w:rPr>
          <w:rFonts w:hint="eastAsia" w:ascii="黑体" w:eastAsia="黑体"/>
          <w:b w:val="0"/>
          <w:bCs w:val="0"/>
          <w:color w:val="000000"/>
          <w:sz w:val="30"/>
        </w:rPr>
        <w:t>----</w:t>
      </w:r>
      <w:r>
        <w:rPr>
          <w:rFonts w:hint="eastAsia" w:ascii="黑体" w:eastAsia="黑体"/>
          <w:b w:val="0"/>
          <w:bCs w:val="0"/>
          <w:color w:val="000000"/>
          <w:sz w:val="30"/>
          <w:lang w:val="en-US" w:eastAsia="zh-CN"/>
        </w:rPr>
        <w:t xml:space="preserve"> 2021</w:t>
      </w:r>
      <w:r>
        <w:rPr>
          <w:rFonts w:hint="eastAsia" w:ascii="黑体" w:eastAsia="黑体"/>
          <w:b w:val="0"/>
          <w:bCs w:val="0"/>
          <w:color w:val="000000"/>
          <w:sz w:val="30"/>
        </w:rPr>
        <w:t>年</w:t>
      </w:r>
      <w:r>
        <w:rPr>
          <w:rFonts w:hint="eastAsia" w:ascii="黑体" w:eastAsia="黑体"/>
          <w:b w:val="0"/>
          <w:bCs w:val="0"/>
          <w:color w:val="000000"/>
          <w:sz w:val="30"/>
          <w:lang w:val="en-US" w:eastAsia="zh-CN"/>
        </w:rPr>
        <w:t>12</w:t>
      </w:r>
      <w:r>
        <w:rPr>
          <w:rFonts w:hint="eastAsia" w:ascii="黑体" w:eastAsia="黑体"/>
          <w:b w:val="0"/>
          <w:bCs w:val="0"/>
          <w:color w:val="000000"/>
          <w:sz w:val="30"/>
        </w:rPr>
        <w:t>月</w:t>
      </w:r>
      <w:r>
        <w:rPr>
          <w:rFonts w:hint="eastAsia" w:ascii="黑体" w:eastAsia="黑体"/>
          <w:b w:val="0"/>
          <w:bCs w:val="0"/>
          <w:color w:val="000000"/>
          <w:sz w:val="30"/>
          <w:lang w:val="en-US" w:eastAsia="zh-CN"/>
        </w:rPr>
        <w:t>31</w:t>
      </w:r>
      <w:r>
        <w:rPr>
          <w:rFonts w:hint="eastAsia" w:ascii="黑体" w:eastAsia="黑体"/>
          <w:b w:val="0"/>
          <w:bCs w:val="0"/>
          <w:color w:val="000000"/>
          <w:sz w:val="30"/>
        </w:rPr>
        <w:t>日</w:t>
      </w:r>
    </w:p>
    <w:p>
      <w:pPr>
        <w:spacing w:line="360" w:lineRule="auto"/>
        <w:rPr>
          <w:rFonts w:hint="eastAsia" w:ascii="楷体_GB2312" w:eastAsia="楷体_GB2312"/>
          <w:b/>
          <w:bCs/>
          <w:color w:val="000000"/>
          <w:sz w:val="36"/>
        </w:rPr>
      </w:pPr>
    </w:p>
    <w:p>
      <w:pPr>
        <w:spacing w:line="360" w:lineRule="auto"/>
        <w:rPr>
          <w:rFonts w:hint="eastAsia" w:ascii="楷体_GB2312" w:eastAsia="楷体_GB2312"/>
          <w:b/>
          <w:bCs/>
          <w:color w:val="000000"/>
          <w:sz w:val="36"/>
        </w:rPr>
      </w:pPr>
    </w:p>
    <w:p>
      <w:pPr>
        <w:spacing w:line="360" w:lineRule="auto"/>
        <w:rPr>
          <w:rFonts w:hint="eastAsia" w:ascii="楷体_GB2312" w:eastAsia="楷体_GB2312"/>
          <w:b/>
          <w:bCs/>
          <w:color w:val="000000"/>
          <w:sz w:val="36"/>
        </w:rPr>
      </w:pPr>
    </w:p>
    <w:p>
      <w:pPr>
        <w:spacing w:line="360" w:lineRule="auto"/>
        <w:rPr>
          <w:rFonts w:hint="eastAsia" w:ascii="黑体" w:eastAsia="黑体"/>
          <w:b/>
          <w:bCs/>
          <w:color w:val="000000"/>
          <w:sz w:val="36"/>
        </w:rPr>
      </w:pPr>
    </w:p>
    <w:p>
      <w:pPr>
        <w:spacing w:line="360" w:lineRule="auto"/>
        <w:jc w:val="center"/>
        <w:rPr>
          <w:rFonts w:hint="eastAsia" w:ascii="黑体" w:eastAsia="黑体"/>
          <w:b w:val="0"/>
          <w:bCs/>
          <w:color w:val="000000"/>
          <w:sz w:val="36"/>
          <w:szCs w:val="36"/>
        </w:rPr>
      </w:pPr>
      <w:r>
        <w:rPr>
          <w:rFonts w:hint="eastAsia" w:ascii="黑体" w:eastAsia="黑体"/>
          <w:b w:val="0"/>
          <w:bCs/>
          <w:color w:val="000000"/>
          <w:sz w:val="36"/>
          <w:szCs w:val="36"/>
        </w:rPr>
        <w:t>甲方：成都华昌物业发展有限责任公司</w:t>
      </w:r>
    </w:p>
    <w:p>
      <w:pPr>
        <w:spacing w:line="360" w:lineRule="auto"/>
        <w:jc w:val="center"/>
        <w:rPr>
          <w:rFonts w:hint="eastAsia" w:ascii="仿宋_GB2312" w:eastAsia="仿宋_GB2312"/>
          <w:b w:val="0"/>
          <w:bCs/>
          <w:sz w:val="44"/>
          <w:szCs w:val="44"/>
        </w:rPr>
      </w:pPr>
      <w:r>
        <w:rPr>
          <w:rFonts w:hint="eastAsia" w:ascii="黑体" w:eastAsia="黑体"/>
          <w:b w:val="0"/>
          <w:bCs/>
          <w:color w:val="000000"/>
          <w:sz w:val="36"/>
          <w:szCs w:val="36"/>
        </w:rPr>
        <w:t>乙方：北京三汇能环科技发展有限公司</w:t>
      </w:r>
    </w:p>
    <w:p>
      <w:pPr>
        <w:rPr>
          <w:rFonts w:hint="eastAsia"/>
          <w:b/>
        </w:rPr>
      </w:pPr>
    </w:p>
    <w:p>
      <w:pPr>
        <w:rPr>
          <w:rFonts w:hint="eastAsia"/>
          <w:b/>
        </w:rPr>
      </w:pPr>
    </w:p>
    <w:p>
      <w:pPr>
        <w:rPr>
          <w:rFonts w:hint="eastAsia" w:ascii="仿宋_GB2312" w:eastAsia="仿宋_GB2312"/>
        </w:rPr>
      </w:pPr>
    </w:p>
    <w:p>
      <w:pPr>
        <w:rPr>
          <w:rFonts w:hint="eastAsia"/>
          <w:bCs/>
          <w:sz w:val="24"/>
        </w:rPr>
      </w:pPr>
    </w:p>
    <w:p>
      <w:pPr>
        <w:rPr>
          <w:rFonts w:hint="eastAsia" w:ascii="仿宋_GB2312" w:hAnsi="仿宋_GB2312" w:eastAsia="仿宋_GB2312" w:cs="仿宋_GB2312"/>
          <w:bCs/>
          <w:sz w:val="32"/>
          <w:szCs w:val="32"/>
        </w:rPr>
        <w:sectPr>
          <w:pgSz w:w="11906" w:h="16838"/>
          <w:pgMar w:top="1440" w:right="952" w:bottom="1134" w:left="1074" w:header="851" w:footer="992" w:gutter="0"/>
          <w:cols w:space="425" w:num="1"/>
          <w:docGrid w:type="lines" w:linePitch="312" w:charSpace="0"/>
        </w:sectPr>
      </w:pPr>
    </w:p>
    <w:p>
      <w:pPr>
        <w:pStyle w:val="2"/>
        <w:rPr>
          <w:rFonts w:hint="eastAsia"/>
        </w:rPr>
      </w:pPr>
    </w:p>
    <w:p>
      <w:pPr>
        <w:spacing w:line="520" w:lineRule="exact"/>
        <w:ind w:left="0" w:leftChars="0" w:right="-309" w:rightChars="-147" w:firstLine="0" w:firstLineChars="0"/>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直燃型冷热水机组维护保养服务合同</w:t>
      </w:r>
    </w:p>
    <w:p>
      <w:pPr>
        <w:rPr>
          <w:rFonts w:hint="eastAsia" w:ascii="仿宋_GB2312" w:hAnsi="仿宋_GB2312" w:eastAsia="仿宋_GB2312" w:cs="仿宋_GB2312"/>
          <w:bCs/>
          <w:sz w:val="32"/>
          <w:szCs w:val="32"/>
        </w:rPr>
      </w:pPr>
    </w:p>
    <w:p>
      <w:pPr>
        <w:spacing w:line="520" w:lineRule="exact"/>
        <w:ind w:left="0" w:leftChars="0" w:right="-309" w:rightChars="-147"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甲方：成都华昌物业发展有限责任公司</w:t>
      </w:r>
    </w:p>
    <w:p>
      <w:pPr>
        <w:spacing w:line="520" w:lineRule="exact"/>
        <w:ind w:left="0" w:leftChars="0" w:right="-309" w:rightChars="-147"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乙方：北京三汇能环科技发展有限公司</w:t>
      </w:r>
    </w:p>
    <w:p>
      <w:pPr>
        <w:spacing w:line="520" w:lineRule="exact"/>
        <w:ind w:right="-309" w:rightChars="-147"/>
        <w:rPr>
          <w:rFonts w:hint="eastAsia" w:ascii="仿宋_GB2312" w:hAnsi="仿宋_GB2312" w:eastAsia="仿宋_GB2312" w:cs="仿宋_GB2312"/>
          <w:sz w:val="32"/>
          <w:szCs w:val="32"/>
        </w:rPr>
      </w:pPr>
    </w:p>
    <w:p>
      <w:pPr>
        <w:spacing w:line="520" w:lineRule="exact"/>
        <w:ind w:right="-309" w:rightChars="-147"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w:t>
      </w:r>
      <w:r>
        <w:rPr>
          <w:rFonts w:hint="eastAsia" w:ascii="仿宋_GB2312" w:hAnsi="仿宋_GB2312" w:eastAsia="仿宋_GB2312" w:cs="仿宋_GB2312"/>
          <w:sz w:val="32"/>
          <w:szCs w:val="32"/>
          <w:lang w:eastAsia="zh-CN"/>
        </w:rPr>
        <w:t>民法典</w:t>
      </w:r>
      <w:r>
        <w:rPr>
          <w:rFonts w:hint="eastAsia" w:ascii="仿宋_GB2312" w:hAnsi="仿宋_GB2312" w:eastAsia="仿宋_GB2312" w:cs="仿宋_GB2312"/>
          <w:sz w:val="32"/>
          <w:szCs w:val="32"/>
        </w:rPr>
        <w:t>》等法律、法规及相关政策的规定，在平等、自愿的基础上，甲、乙双方就成都市妇女儿童中心直燃型冷热水机组维护保养事项，协商一致，达成合同如下：</w:t>
      </w:r>
    </w:p>
    <w:p>
      <w:pPr>
        <w:numPr>
          <w:ilvl w:val="0"/>
          <w:numId w:val="1"/>
        </w:numPr>
        <w:spacing w:line="520" w:lineRule="exact"/>
        <w:ind w:left="0" w:leftChars="0" w:firstLine="0" w:firstLineChars="0"/>
        <w:rPr>
          <w:rFonts w:hint="eastAsia" w:ascii="仿宋_GB2312" w:hAnsi="仿宋_GB2312" w:eastAsia="仿宋_GB2312" w:cs="仿宋_GB2312"/>
          <w:b/>
          <w:sz w:val="32"/>
          <w:szCs w:val="32"/>
          <w:highlight w:val="yellow"/>
          <w:lang w:val="en-US" w:eastAsia="zh-CN"/>
        </w:rPr>
      </w:pPr>
      <w:r>
        <w:rPr>
          <w:rFonts w:hint="eastAsia" w:ascii="仿宋_GB2312" w:hAnsi="仿宋_GB2312" w:eastAsia="仿宋_GB2312" w:cs="仿宋_GB2312"/>
          <w:b/>
          <w:sz w:val="32"/>
          <w:szCs w:val="32"/>
          <w:highlight w:val="yellow"/>
          <w:lang w:val="en-US" w:eastAsia="zh-CN"/>
        </w:rPr>
        <w:t>项目地址</w:t>
      </w:r>
    </w:p>
    <w:p>
      <w:pPr>
        <w:pStyle w:val="2"/>
        <w:rPr>
          <w:rFonts w:hint="default"/>
          <w:lang w:val="en-US" w:eastAsia="zh-CN"/>
        </w:rPr>
      </w:pPr>
      <w:r>
        <w:rPr>
          <w:rFonts w:hint="eastAsia" w:ascii="仿宋_GB2312" w:hAnsi="仿宋_GB2312" w:eastAsia="仿宋_GB2312" w:cs="仿宋_GB2312"/>
          <w:b/>
          <w:sz w:val="32"/>
          <w:szCs w:val="32"/>
          <w:highlight w:val="yellow"/>
          <w:lang w:val="en-US" w:eastAsia="zh-CN"/>
        </w:rPr>
        <w:t xml:space="preserve">    成都市锦江区东大路238号</w:t>
      </w:r>
    </w:p>
    <w:p>
      <w:pPr>
        <w:numPr>
          <w:ilvl w:val="0"/>
          <w:numId w:val="1"/>
        </w:numPr>
        <w:spacing w:line="520" w:lineRule="exact"/>
        <w:ind w:left="0" w:leftChars="0"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lang w:val="en-US" w:eastAsia="zh-CN"/>
        </w:rPr>
        <w:t>维护保养内容</w:t>
      </w:r>
    </w:p>
    <w:p>
      <w:pPr>
        <w:ind w:left="636" w:leftChars="303"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甲方委托乙方</w:t>
      </w:r>
      <w:r>
        <w:rPr>
          <w:rFonts w:hint="eastAsia" w:ascii="仿宋_GB2312" w:hAnsi="仿宋_GB2312" w:eastAsia="仿宋_GB2312" w:cs="仿宋_GB2312"/>
          <w:sz w:val="32"/>
          <w:szCs w:val="32"/>
        </w:rPr>
        <w:t>为成都市妇女儿童中心</w:t>
      </w:r>
      <w:r>
        <w:rPr>
          <w:rFonts w:hint="eastAsia" w:ascii="仿宋_GB2312" w:hAnsi="仿宋_GB2312" w:eastAsia="仿宋_GB2312" w:cs="仿宋_GB2312"/>
          <w:b/>
          <w:bCs/>
          <w:sz w:val="32"/>
          <w:szCs w:val="32"/>
          <w:u w:val="single"/>
        </w:rPr>
        <w:t>贰台</w:t>
      </w:r>
      <w:r>
        <w:rPr>
          <w:rFonts w:hint="eastAsia" w:ascii="仿宋_GB2312" w:hAnsi="仿宋_GB2312" w:eastAsia="仿宋_GB2312" w:cs="仿宋_GB2312"/>
          <w:sz w:val="32"/>
          <w:szCs w:val="32"/>
          <w:u w:val="single"/>
        </w:rPr>
        <w:t>直燃型冷热水机组</w:t>
      </w:r>
      <w:r>
        <w:rPr>
          <w:rFonts w:hint="eastAsia" w:ascii="仿宋_GB2312" w:hAnsi="仿宋_GB2312" w:eastAsia="仿宋_GB2312" w:cs="仿宋_GB2312"/>
          <w:sz w:val="32"/>
          <w:szCs w:val="32"/>
        </w:rPr>
        <w:t>（型号：GD 60 BCX）提供维护保养</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具体维护保养内容见附件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numPr>
          <w:ilvl w:val="0"/>
          <w:numId w:val="1"/>
        </w:numPr>
        <w:spacing w:line="520" w:lineRule="exact"/>
        <w:ind w:left="0" w:leftChars="0" w:firstLine="0" w:firstLineChars="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服务期限</w:t>
      </w:r>
    </w:p>
    <w:p>
      <w:pPr>
        <w:numPr>
          <w:ilvl w:val="0"/>
          <w:numId w:val="0"/>
        </w:numPr>
        <w:overflowPunct w:val="0"/>
        <w:autoSpaceDE w:val="0"/>
        <w:autoSpaceDN w:val="0"/>
        <w:adjustRightInd w:val="0"/>
        <w:ind w:left="640" w:leftChars="0" w:firstLine="0" w:firstLineChars="0"/>
        <w:textAlignment w:val="baseline"/>
        <w:rPr>
          <w:rFonts w:ascii="仿宋" w:hAnsi="仿宋" w:eastAsia="仿宋" w:cs="仿宋"/>
          <w:sz w:val="32"/>
          <w:szCs w:val="32"/>
        </w:rPr>
      </w:pPr>
      <w:bookmarkStart w:id="0" w:name="_Toc447099226"/>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月1日至2021年</w:t>
      </w:r>
      <w:r>
        <w:rPr>
          <w:rFonts w:hint="eastAsia" w:ascii="仿宋" w:hAnsi="仿宋" w:eastAsia="仿宋" w:cs="仿宋"/>
          <w:sz w:val="32"/>
          <w:szCs w:val="32"/>
          <w:lang w:val="en-US" w:eastAsia="zh-CN"/>
        </w:rPr>
        <w:t>12</w:t>
      </w:r>
      <w:r>
        <w:rPr>
          <w:rFonts w:hint="eastAsia" w:ascii="仿宋" w:hAnsi="仿宋" w:eastAsia="仿宋" w:cs="仿宋"/>
          <w:sz w:val="32"/>
          <w:szCs w:val="32"/>
        </w:rPr>
        <w:t>月31日</w:t>
      </w:r>
      <w:r>
        <w:rPr>
          <w:rFonts w:hint="eastAsia" w:ascii="仿宋" w:hAnsi="仿宋" w:eastAsia="仿宋" w:cs="仿宋"/>
          <w:sz w:val="32"/>
          <w:szCs w:val="32"/>
          <w:lang w:eastAsia="zh-CN"/>
        </w:rPr>
        <w:t>，</w:t>
      </w:r>
      <w:r>
        <w:rPr>
          <w:rFonts w:hint="eastAsia" w:ascii="仿宋" w:hAnsi="仿宋" w:eastAsia="仿宋" w:cs="仿宋"/>
          <w:sz w:val="32"/>
          <w:szCs w:val="32"/>
        </w:rPr>
        <w:t>维保服务期限为</w:t>
      </w:r>
      <w:r>
        <w:rPr>
          <w:rFonts w:hint="eastAsia" w:ascii="仿宋" w:hAnsi="仿宋" w:eastAsia="仿宋" w:cs="仿宋"/>
          <w:sz w:val="32"/>
          <w:szCs w:val="32"/>
          <w:lang w:val="en-US" w:eastAsia="zh-CN"/>
        </w:rPr>
        <w:t>壹</w:t>
      </w:r>
      <w:r>
        <w:rPr>
          <w:rFonts w:hint="eastAsia" w:ascii="仿宋" w:hAnsi="仿宋" w:eastAsia="仿宋" w:cs="仿宋"/>
          <w:sz w:val="32"/>
          <w:szCs w:val="32"/>
        </w:rPr>
        <w:t>年。</w:t>
      </w:r>
      <w:bookmarkEnd w:id="0"/>
    </w:p>
    <w:p>
      <w:pPr>
        <w:numPr>
          <w:ilvl w:val="0"/>
          <w:numId w:val="1"/>
        </w:numPr>
        <w:spacing w:line="520" w:lineRule="exact"/>
        <w:ind w:left="0" w:leftChars="0" w:firstLine="0" w:firstLineChars="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维护保养服务费用</w:t>
      </w:r>
    </w:p>
    <w:p>
      <w:pPr>
        <w:numPr>
          <w:ilvl w:val="0"/>
          <w:numId w:val="0"/>
        </w:numPr>
        <w:spacing w:line="520" w:lineRule="exact"/>
        <w:ind w:left="638" w:leftChars="304"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本合同总金额为人民币：¥47000.00元（大写：肆万柒仟元整)。</w:t>
      </w:r>
    </w:p>
    <w:p>
      <w:pPr>
        <w:numPr>
          <w:ilvl w:val="0"/>
          <w:numId w:val="0"/>
        </w:numPr>
        <w:spacing w:line="520" w:lineRule="exact"/>
        <w:ind w:left="218" w:leftChars="104"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维护保养服务费包含：</w:t>
      </w:r>
    </w:p>
    <w:p>
      <w:pPr>
        <w:numPr>
          <w:ilvl w:val="0"/>
          <w:numId w:val="2"/>
        </w:numPr>
        <w:spacing w:line="520" w:lineRule="exact"/>
        <w:ind w:left="838" w:leftChars="104" w:hanging="6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维护保养涉及全部内容的人工、检测及保养用气体：氮气、氧气、乙炔等费用；</w:t>
      </w:r>
    </w:p>
    <w:p>
      <w:pPr>
        <w:numPr>
          <w:ilvl w:val="0"/>
          <w:numId w:val="2"/>
        </w:numPr>
        <w:spacing w:line="520" w:lineRule="exact"/>
        <w:ind w:left="838" w:leftChars="104" w:hanging="6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单次单价人民币在￥1000.00元（含￥1000.00元）以下的材料（如单次单价超出￥1000.00元，超出部分由甲方支付），更换材料应经双方工作人员签字认可后实施，否则甲方不予认可。</w:t>
      </w:r>
    </w:p>
    <w:p>
      <w:pPr>
        <w:numPr>
          <w:ilvl w:val="0"/>
          <w:numId w:val="1"/>
        </w:numPr>
        <w:spacing w:line="520" w:lineRule="exact"/>
        <w:ind w:left="0" w:leftChars="0" w:firstLine="0" w:firstLineChars="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付款方式及支付周期</w:t>
      </w:r>
    </w:p>
    <w:p>
      <w:pPr>
        <w:numPr>
          <w:ilvl w:val="0"/>
          <w:numId w:val="3"/>
        </w:numPr>
        <w:spacing w:line="520" w:lineRule="exact"/>
        <w:ind w:left="825" w:leftChars="0" w:hanging="605" w:firstLineChars="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付款方式为银行转账；</w:t>
      </w:r>
    </w:p>
    <w:p>
      <w:pPr>
        <w:numPr>
          <w:ilvl w:val="0"/>
          <w:numId w:val="3"/>
        </w:numPr>
        <w:spacing w:line="520" w:lineRule="exact"/>
        <w:ind w:left="825" w:leftChars="0" w:hanging="605" w:firstLineChars="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付款周期为三个月，全年年共分四期支付，即维护保养期每满三个月，经甲方对乙方上一季度维保工作考评，甲方根据考评结果按季度支付</w:t>
      </w:r>
      <w:r>
        <w:rPr>
          <w:rFonts w:hint="eastAsia" w:ascii="仿宋" w:hAnsi="仿宋" w:eastAsia="仿宋" w:cs="仿宋"/>
          <w:sz w:val="32"/>
          <w:szCs w:val="32"/>
          <w:lang w:val="en-US" w:eastAsia="zh-CN"/>
        </w:rPr>
        <w:t>维护保养服务费</w:t>
      </w:r>
      <w:r>
        <w:rPr>
          <w:rFonts w:hint="eastAsia" w:ascii="仿宋_GB2312" w:hAnsi="仿宋_GB2312" w:eastAsia="仿宋_GB2312" w:cs="仿宋_GB2312"/>
          <w:bCs/>
          <w:sz w:val="32"/>
          <w:szCs w:val="32"/>
          <w:lang w:val="en-US" w:eastAsia="zh-CN"/>
        </w:rPr>
        <w:t>；</w:t>
      </w:r>
    </w:p>
    <w:p>
      <w:pPr>
        <w:numPr>
          <w:ilvl w:val="0"/>
          <w:numId w:val="3"/>
        </w:numPr>
        <w:spacing w:line="520" w:lineRule="exact"/>
        <w:ind w:left="825" w:leftChars="0" w:hanging="605" w:firstLineChars="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每次付款时间届至时，乙方需提前7个工作日书面通知甲方，并提交有进项税抵扣的增值税专用发票，甲方在审核无误后10个工作日内付款给乙方，以上资料未提交齐全而造成甲方付款延期的，付款期限相应顺延且甲方不承担任何责任。</w:t>
      </w:r>
    </w:p>
    <w:p>
      <w:pPr>
        <w:numPr>
          <w:ilvl w:val="0"/>
          <w:numId w:val="3"/>
        </w:numPr>
        <w:spacing w:line="520" w:lineRule="exact"/>
        <w:ind w:left="825" w:leftChars="0" w:hanging="605" w:firstLineChars="0"/>
        <w:rPr>
          <w:rFonts w:hint="eastAsia" w:ascii="仿宋_GB2312" w:hAnsi="仿宋_GB2312" w:eastAsia="仿宋_GB2312" w:cs="仿宋_GB2312"/>
          <w:bCs/>
          <w:sz w:val="32"/>
          <w:szCs w:val="32"/>
          <w:lang w:val="en-US" w:eastAsia="zh-CN"/>
        </w:rPr>
      </w:pPr>
      <w:r>
        <w:rPr>
          <w:rFonts w:hint="eastAsia" w:ascii="仿宋" w:hAnsi="仿宋" w:eastAsia="仿宋" w:cs="仿宋"/>
          <w:sz w:val="32"/>
          <w:szCs w:val="32"/>
          <w:lang w:val="en-US" w:eastAsia="zh-CN"/>
        </w:rPr>
        <w:t>第一次支付：</w:t>
      </w:r>
      <w:r>
        <w:rPr>
          <w:rFonts w:hint="eastAsia" w:ascii="仿宋_GB2312" w:hAnsi="仿宋_GB2312" w:eastAsia="仿宋_GB2312" w:cs="仿宋_GB2312"/>
          <w:bCs/>
          <w:sz w:val="32"/>
          <w:szCs w:val="32"/>
          <w:lang w:val="en-US" w:eastAsia="zh-CN"/>
        </w:rPr>
        <w:t>2021年3月31日后10个工作日内，甲方支付乙方维护保养服务费¥47000.00元的25℅，即¥11750.00元（大写：壹万壹仟柒佰伍拾元整）；</w:t>
      </w:r>
    </w:p>
    <w:p>
      <w:pPr>
        <w:numPr>
          <w:ilvl w:val="0"/>
          <w:numId w:val="3"/>
        </w:numPr>
        <w:spacing w:line="520" w:lineRule="exact"/>
        <w:ind w:left="825" w:leftChars="0" w:hanging="605" w:firstLineChars="0"/>
        <w:rPr>
          <w:rFonts w:hint="eastAsia" w:ascii="仿宋_GB2312" w:hAnsi="仿宋_GB2312" w:eastAsia="仿宋_GB2312" w:cs="仿宋_GB2312"/>
          <w:bCs/>
          <w:sz w:val="32"/>
          <w:szCs w:val="32"/>
          <w:lang w:val="en-US" w:eastAsia="zh-CN"/>
        </w:rPr>
      </w:pPr>
      <w:r>
        <w:rPr>
          <w:rFonts w:hint="eastAsia" w:ascii="仿宋" w:hAnsi="仿宋" w:eastAsia="仿宋" w:cs="仿宋"/>
          <w:sz w:val="32"/>
          <w:szCs w:val="32"/>
          <w:lang w:val="en-US" w:eastAsia="zh-CN"/>
        </w:rPr>
        <w:t>第二次支付：</w:t>
      </w:r>
      <w:r>
        <w:rPr>
          <w:rFonts w:hint="eastAsia" w:ascii="仿宋_GB2312" w:hAnsi="仿宋_GB2312" w:eastAsia="仿宋_GB2312" w:cs="仿宋_GB2312"/>
          <w:bCs/>
          <w:sz w:val="32"/>
          <w:szCs w:val="32"/>
          <w:lang w:val="en-US" w:eastAsia="zh-CN"/>
        </w:rPr>
        <w:t>2021年6月30日后10个工作日内，甲方支付乙方保养服务费¥47000.00元的25℅，即¥11750.00元（大写：壹万壹仟柒佰伍拾元整）；</w:t>
      </w:r>
    </w:p>
    <w:p>
      <w:pPr>
        <w:numPr>
          <w:ilvl w:val="0"/>
          <w:numId w:val="3"/>
        </w:numPr>
        <w:spacing w:line="520" w:lineRule="exact"/>
        <w:ind w:left="825" w:leftChars="0" w:hanging="605" w:firstLineChars="0"/>
        <w:rPr>
          <w:rFonts w:hint="eastAsia" w:ascii="仿宋_GB2312" w:hAnsi="仿宋_GB2312" w:eastAsia="仿宋_GB2312" w:cs="仿宋_GB2312"/>
          <w:bCs/>
          <w:sz w:val="32"/>
          <w:szCs w:val="32"/>
          <w:lang w:val="en-US" w:eastAsia="zh-CN"/>
        </w:rPr>
      </w:pPr>
      <w:r>
        <w:rPr>
          <w:rFonts w:hint="eastAsia" w:ascii="仿宋" w:hAnsi="仿宋" w:eastAsia="仿宋" w:cs="仿宋"/>
          <w:sz w:val="32"/>
          <w:szCs w:val="32"/>
          <w:lang w:val="en-US" w:eastAsia="zh-CN"/>
        </w:rPr>
        <w:t>第三次支付：</w:t>
      </w:r>
      <w:r>
        <w:rPr>
          <w:rFonts w:hint="eastAsia" w:ascii="仿宋_GB2312" w:hAnsi="仿宋_GB2312" w:eastAsia="仿宋_GB2312" w:cs="仿宋_GB2312"/>
          <w:bCs/>
          <w:sz w:val="32"/>
          <w:szCs w:val="32"/>
          <w:lang w:val="en-US" w:eastAsia="zh-CN"/>
        </w:rPr>
        <w:t>2021年9月30日后10个工作日内，甲方支付乙方保养服务费¥47000.00元的25℅，即¥11750.00元（大写：壹万壹仟柒佰伍拾元整）；</w:t>
      </w:r>
    </w:p>
    <w:p>
      <w:pPr>
        <w:numPr>
          <w:ilvl w:val="0"/>
          <w:numId w:val="3"/>
        </w:numPr>
        <w:spacing w:line="520" w:lineRule="exact"/>
        <w:ind w:left="825" w:leftChars="0" w:hanging="605" w:firstLineChars="0"/>
        <w:rPr>
          <w:rFonts w:hint="eastAsia" w:ascii="仿宋_GB2312" w:hAnsi="仿宋_GB2312" w:eastAsia="仿宋_GB2312" w:cs="仿宋_GB2312"/>
          <w:bCs/>
          <w:sz w:val="32"/>
          <w:szCs w:val="32"/>
          <w:lang w:val="en-US" w:eastAsia="zh-CN"/>
        </w:rPr>
      </w:pPr>
      <w:r>
        <w:rPr>
          <w:rFonts w:hint="eastAsia" w:ascii="仿宋" w:hAnsi="仿宋" w:eastAsia="仿宋" w:cs="仿宋"/>
          <w:sz w:val="32"/>
          <w:szCs w:val="32"/>
          <w:lang w:val="en-US" w:eastAsia="zh-CN"/>
        </w:rPr>
        <w:t>第四次支付：</w:t>
      </w:r>
      <w:r>
        <w:rPr>
          <w:rFonts w:hint="eastAsia" w:ascii="仿宋_GB2312" w:hAnsi="仿宋_GB2312" w:eastAsia="仿宋_GB2312" w:cs="仿宋_GB2312"/>
          <w:bCs/>
          <w:sz w:val="32"/>
          <w:szCs w:val="32"/>
          <w:lang w:val="en-US" w:eastAsia="zh-CN"/>
        </w:rPr>
        <w:t>2021年12月31日后，10个工作日内，甲方支付乙方保养服务费¥47000.00元的25℅，即¥11750.00元（大写：壹万壹仟柒佰伍拾元整）</w:t>
      </w:r>
    </w:p>
    <w:p>
      <w:pPr>
        <w:numPr>
          <w:ilvl w:val="0"/>
          <w:numId w:val="3"/>
        </w:numPr>
        <w:spacing w:line="520" w:lineRule="exact"/>
        <w:ind w:left="825" w:leftChars="0" w:hanging="605" w:firstLineChars="0"/>
        <w:rPr>
          <w:rFonts w:hint="eastAsia" w:ascii="仿宋" w:hAnsi="仿宋" w:eastAsia="仿宋" w:cs="仿宋"/>
          <w:sz w:val="32"/>
          <w:szCs w:val="32"/>
          <w:lang w:val="en-US" w:eastAsia="zh-CN"/>
        </w:rPr>
      </w:pPr>
      <w:r>
        <w:rPr>
          <w:rFonts w:hint="eastAsia" w:ascii="仿宋_GB2312" w:hAnsi="仿宋_GB2312" w:eastAsia="仿宋_GB2312" w:cs="仿宋_GB2312"/>
          <w:bCs/>
          <w:sz w:val="32"/>
          <w:szCs w:val="32"/>
          <w:lang w:val="en-US" w:eastAsia="zh-CN"/>
        </w:rPr>
        <w:t>开票信息：</w:t>
      </w:r>
    </w:p>
    <w:tbl>
      <w:tblPr>
        <w:tblStyle w:val="10"/>
        <w:tblW w:w="9890"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4"/>
        <w:gridCol w:w="4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4" w:type="dxa"/>
          </w:tcPr>
          <w:p>
            <w:pPr>
              <w:pStyle w:val="2"/>
              <w:jc w:val="both"/>
              <w:rPr>
                <w:rFonts w:hint="eastAsia"/>
                <w:vertAlign w:val="baseline"/>
                <w:lang w:val="en-US" w:eastAsia="zh-CN"/>
              </w:rPr>
            </w:pPr>
            <w:r>
              <w:rPr>
                <w:rFonts w:hint="eastAsia" w:asciiTheme="majorEastAsia" w:hAnsiTheme="majorEastAsia" w:eastAsiaTheme="majorEastAsia" w:cstheme="majorEastAsia"/>
                <w:color w:val="auto"/>
                <w:sz w:val="24"/>
                <w:szCs w:val="24"/>
              </w:rPr>
              <w:t>单位名称：成都华昌物业发展有限责任公司</w:t>
            </w:r>
          </w:p>
        </w:tc>
        <w:tc>
          <w:tcPr>
            <w:tcW w:w="4656" w:type="dxa"/>
          </w:tcPr>
          <w:p>
            <w:pPr>
              <w:pStyle w:val="2"/>
              <w:jc w:val="both"/>
              <w:rPr>
                <w:rFonts w:hint="eastAsia"/>
                <w:vertAlign w:val="baseline"/>
                <w:lang w:val="en-US" w:eastAsia="zh-CN"/>
              </w:rPr>
            </w:pPr>
            <w:r>
              <w:rPr>
                <w:rFonts w:hint="eastAsia" w:asciiTheme="majorEastAsia" w:hAnsiTheme="majorEastAsia" w:eastAsiaTheme="majorEastAsia" w:cstheme="majorEastAsia"/>
                <w:color w:val="auto"/>
                <w:sz w:val="24"/>
                <w:szCs w:val="24"/>
              </w:rPr>
              <w:t>单位名称：北京三汇能环科技发展有限公司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4" w:type="dxa"/>
          </w:tcPr>
          <w:p>
            <w:pPr>
              <w:pStyle w:val="2"/>
              <w:jc w:val="both"/>
              <w:rPr>
                <w:rFonts w:hint="eastAsia"/>
                <w:vertAlign w:val="baseline"/>
                <w:lang w:val="en-US" w:eastAsia="zh-CN"/>
              </w:rPr>
            </w:pPr>
            <w:r>
              <w:rPr>
                <w:rFonts w:hint="eastAsia" w:asciiTheme="majorEastAsia" w:hAnsiTheme="majorEastAsia" w:eastAsiaTheme="majorEastAsia" w:cstheme="majorEastAsia"/>
                <w:color w:val="auto"/>
                <w:kern w:val="0"/>
                <w:sz w:val="24"/>
                <w:szCs w:val="24"/>
              </w:rPr>
              <w:t>纳税人识别号：915101002019597608</w:t>
            </w:r>
            <w:r>
              <w:rPr>
                <w:rFonts w:hint="eastAsia" w:asciiTheme="majorEastAsia" w:hAnsiTheme="majorEastAsia" w:eastAsiaTheme="majorEastAsia" w:cstheme="majorEastAsia"/>
                <w:color w:val="auto"/>
                <w:sz w:val="24"/>
                <w:szCs w:val="24"/>
              </w:rPr>
              <w:t xml:space="preserve"> </w:t>
            </w:r>
          </w:p>
        </w:tc>
        <w:tc>
          <w:tcPr>
            <w:tcW w:w="4656" w:type="dxa"/>
          </w:tcPr>
          <w:p>
            <w:pPr>
              <w:pStyle w:val="2"/>
              <w:jc w:val="both"/>
              <w:rPr>
                <w:rFonts w:hint="eastAsia"/>
                <w:vertAlign w:val="baseline"/>
                <w:lang w:val="en-US" w:eastAsia="zh-CN"/>
              </w:rPr>
            </w:pPr>
            <w:r>
              <w:rPr>
                <w:rFonts w:hint="eastAsia" w:asciiTheme="majorEastAsia" w:hAnsiTheme="majorEastAsia" w:eastAsiaTheme="majorEastAsia" w:cstheme="majorEastAsia"/>
                <w:color w:val="auto"/>
                <w:kern w:val="0"/>
                <w:sz w:val="24"/>
                <w:szCs w:val="24"/>
                <w:highlight w:val="yellow"/>
              </w:rPr>
              <w:t>纳税人识别号：</w:t>
            </w:r>
            <w:r>
              <w:rPr>
                <w:rFonts w:hint="eastAsia" w:asciiTheme="majorEastAsia" w:hAnsiTheme="majorEastAsia" w:eastAsiaTheme="majorEastAsia" w:cstheme="majorEastAsia"/>
                <w:color w:val="auto"/>
                <w:sz w:val="24"/>
                <w:szCs w:val="24"/>
                <w:lang w:val="en-US" w:eastAsia="zh-CN"/>
              </w:rPr>
              <w:t>91110106666295220C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4" w:type="dxa"/>
          </w:tcPr>
          <w:p>
            <w:pPr>
              <w:pStyle w:val="2"/>
              <w:jc w:val="both"/>
              <w:rPr>
                <w:rFonts w:hint="eastAsia"/>
                <w:vertAlign w:val="baseline"/>
                <w:lang w:val="en-US" w:eastAsia="zh-CN"/>
              </w:rPr>
            </w:pPr>
            <w:r>
              <w:rPr>
                <w:rFonts w:hint="eastAsia" w:asciiTheme="majorEastAsia" w:hAnsiTheme="majorEastAsia" w:eastAsiaTheme="majorEastAsia" w:cstheme="majorEastAsia"/>
                <w:color w:val="auto"/>
                <w:kern w:val="0"/>
                <w:sz w:val="24"/>
                <w:szCs w:val="24"/>
              </w:rPr>
              <w:t>开户行：建行成都后子门支行</w:t>
            </w:r>
          </w:p>
        </w:tc>
        <w:tc>
          <w:tcPr>
            <w:tcW w:w="4656" w:type="dxa"/>
          </w:tcPr>
          <w:p>
            <w:pPr>
              <w:pStyle w:val="2"/>
              <w:jc w:val="both"/>
              <w:rPr>
                <w:rFonts w:hint="eastAsia"/>
                <w:vertAlign w:val="baseline"/>
                <w:lang w:val="en-US" w:eastAsia="zh-CN"/>
              </w:rPr>
            </w:pPr>
            <w:r>
              <w:rPr>
                <w:rFonts w:hint="eastAsia" w:asciiTheme="majorEastAsia" w:hAnsiTheme="majorEastAsia" w:eastAsiaTheme="majorEastAsia" w:cstheme="majorEastAsia"/>
                <w:color w:val="auto"/>
                <w:sz w:val="24"/>
                <w:szCs w:val="24"/>
              </w:rPr>
              <w:t>开户银行：北京农村商银行丰台支行营业部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4" w:type="dxa"/>
          </w:tcPr>
          <w:p>
            <w:pPr>
              <w:pStyle w:val="2"/>
              <w:jc w:val="both"/>
              <w:rPr>
                <w:rFonts w:hint="eastAsia"/>
                <w:vertAlign w:val="baseline"/>
                <w:lang w:val="en-US" w:eastAsia="zh-CN"/>
              </w:rPr>
            </w:pPr>
            <w:r>
              <w:rPr>
                <w:rFonts w:hint="eastAsia" w:asciiTheme="majorEastAsia" w:hAnsiTheme="majorEastAsia" w:eastAsiaTheme="majorEastAsia" w:cstheme="majorEastAsia"/>
                <w:color w:val="auto"/>
                <w:kern w:val="0"/>
                <w:sz w:val="24"/>
                <w:szCs w:val="24"/>
              </w:rPr>
              <w:t>账号：51001426239050035177</w:t>
            </w:r>
          </w:p>
        </w:tc>
        <w:tc>
          <w:tcPr>
            <w:tcW w:w="4656" w:type="dxa"/>
          </w:tcPr>
          <w:p>
            <w:pPr>
              <w:pStyle w:val="2"/>
              <w:jc w:val="both"/>
              <w:rPr>
                <w:rFonts w:hint="eastAsia"/>
                <w:vertAlign w:val="baseline"/>
                <w:lang w:val="en-US" w:eastAsia="zh-CN"/>
              </w:rPr>
            </w:pPr>
            <w:r>
              <w:rPr>
                <w:rFonts w:hint="eastAsia" w:asciiTheme="majorEastAsia" w:hAnsiTheme="majorEastAsia" w:eastAsiaTheme="majorEastAsia" w:cstheme="majorEastAsia"/>
                <w:color w:val="auto"/>
                <w:sz w:val="24"/>
                <w:szCs w:val="24"/>
              </w:rPr>
              <w:t>帐  号：0201000103000023429</w:t>
            </w:r>
          </w:p>
        </w:tc>
      </w:tr>
    </w:tbl>
    <w:p>
      <w:pPr>
        <w:numPr>
          <w:ilvl w:val="0"/>
          <w:numId w:val="1"/>
        </w:numPr>
        <w:spacing w:line="520" w:lineRule="exact"/>
        <w:ind w:left="0" w:leftChars="0" w:firstLine="0" w:firstLineChars="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甲方权利与义务</w:t>
      </w:r>
    </w:p>
    <w:p>
      <w:pPr>
        <w:numPr>
          <w:ilvl w:val="0"/>
          <w:numId w:val="4"/>
        </w:numPr>
        <w:ind w:left="425" w:leftChars="0" w:hanging="20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eastAsia="zh-CN"/>
        </w:rPr>
        <w:t>维护保养</w:t>
      </w:r>
      <w:r>
        <w:rPr>
          <w:rFonts w:hint="eastAsia" w:ascii="仿宋_GB2312" w:hAnsi="仿宋_GB2312" w:eastAsia="仿宋_GB2312" w:cs="仿宋_GB2312"/>
          <w:sz w:val="32"/>
          <w:szCs w:val="32"/>
        </w:rPr>
        <w:t>费用；</w:t>
      </w:r>
    </w:p>
    <w:p>
      <w:pPr>
        <w:numPr>
          <w:ilvl w:val="0"/>
          <w:numId w:val="4"/>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对乙方的维保服务进行考评；</w:t>
      </w:r>
    </w:p>
    <w:p>
      <w:pPr>
        <w:numPr>
          <w:ilvl w:val="0"/>
          <w:numId w:val="4"/>
        </w:numPr>
        <w:ind w:left="840" w:leftChars="0" w:hanging="6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承担因燃料、电力及辅助设施不良等造成的机组损坏及维修费用；</w:t>
      </w:r>
    </w:p>
    <w:p>
      <w:pPr>
        <w:numPr>
          <w:ilvl w:val="0"/>
          <w:numId w:val="4"/>
        </w:numPr>
        <w:ind w:left="425" w:leftChars="0" w:hanging="20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负责日常的空调巡视、检查及纪录；</w:t>
      </w:r>
    </w:p>
    <w:p>
      <w:pPr>
        <w:numPr>
          <w:ilvl w:val="0"/>
          <w:numId w:val="4"/>
        </w:numPr>
        <w:ind w:left="425" w:leftChars="0" w:hanging="20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给予乙方服务工作必要的工作便利和支持；</w:t>
      </w:r>
    </w:p>
    <w:p>
      <w:pPr>
        <w:numPr>
          <w:ilvl w:val="0"/>
          <w:numId w:val="4"/>
        </w:numPr>
        <w:ind w:left="840" w:leftChars="0" w:hanging="6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审批乙方提交的维保计划及故障维修计划，检查维保准备情况，检查乙方提交的维保记录、维修记录及巡检记录，并签字确认。</w:t>
      </w:r>
    </w:p>
    <w:p>
      <w:pPr>
        <w:numPr>
          <w:ilvl w:val="0"/>
          <w:numId w:val="1"/>
        </w:numPr>
        <w:spacing w:line="520" w:lineRule="exact"/>
        <w:ind w:left="0" w:leftChars="0" w:firstLine="0" w:firstLineChars="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乙方权利和义务</w:t>
      </w:r>
    </w:p>
    <w:p>
      <w:pPr>
        <w:numPr>
          <w:ilvl w:val="0"/>
          <w:numId w:val="5"/>
        </w:numPr>
        <w:ind w:left="825" w:leftChars="0" w:hanging="60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为甲方提供本合同约定的维护保养，必须符合</w:t>
      </w:r>
      <w:r>
        <w:rPr>
          <w:rFonts w:hint="eastAsia" w:ascii="仿宋_GB2312" w:hAnsi="仿宋_GB2312" w:eastAsia="仿宋_GB2312" w:cs="仿宋_GB2312"/>
          <w:sz w:val="32"/>
          <w:szCs w:val="32"/>
          <w:highlight w:val="yellow"/>
        </w:rPr>
        <w:t>国家规定、行业通行、双方认可的空调设备维护保养标准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并承担服务过程中一切安全责任；</w:t>
      </w:r>
    </w:p>
    <w:p>
      <w:pPr>
        <w:numPr>
          <w:ilvl w:val="0"/>
          <w:numId w:val="5"/>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乙方派出服务人员应具备相应技术资格，具有特种作业操作证，并向甲方提交相应资料，服务人员变更是应提前通知甲方报备，派出服务人员应遵守甲方的相关制度、规定，接受甲方监督；</w:t>
      </w:r>
    </w:p>
    <w:p>
      <w:pPr>
        <w:numPr>
          <w:ilvl w:val="0"/>
          <w:numId w:val="5"/>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接甲方报修后，乙方须在1小时出发，2小时内到达故障现场，遇紧急故障时须在1小时内到达现场；</w:t>
      </w:r>
    </w:p>
    <w:p>
      <w:pPr>
        <w:numPr>
          <w:ilvl w:val="0"/>
          <w:numId w:val="5"/>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乙方应备齐常用备件，保证维修及时率；</w:t>
      </w:r>
    </w:p>
    <w:p>
      <w:pPr>
        <w:numPr>
          <w:ilvl w:val="0"/>
          <w:numId w:val="5"/>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由于突发故障造成停机，乙方应立即进行维修或更换配件，首先确保机组正常运行，然后调查分析故障原因，提交分析报告；</w:t>
      </w:r>
    </w:p>
    <w:p>
      <w:pPr>
        <w:numPr>
          <w:ilvl w:val="0"/>
          <w:numId w:val="5"/>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乙方应制定保养计划，提交甲方认可后方可实施，保养工作不应影响本项目的正常运营；</w:t>
      </w:r>
    </w:p>
    <w:p>
      <w:pPr>
        <w:numPr>
          <w:ilvl w:val="0"/>
          <w:numId w:val="5"/>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维修保养服务中，乙方不得擅自改动设备，若需要变动应提前通知甲方，在甲方认可后方可变动；</w:t>
      </w:r>
    </w:p>
    <w:p>
      <w:pPr>
        <w:numPr>
          <w:ilvl w:val="0"/>
          <w:numId w:val="5"/>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维修保养服务时，乙方应负责保护甲方相关设施设备、物品、场地的完好，由于乙方原因造成的（设施设备、人身）安全事故及环境污染、设施设备损坏，乙方应在甲方规定时间内恢复，其恢复费用由乙方承担；</w:t>
      </w:r>
    </w:p>
    <w:p>
      <w:pPr>
        <w:numPr>
          <w:ilvl w:val="0"/>
          <w:numId w:val="5"/>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乙方在机组制冷、制热前，停机检修期间对溴化锂溶液各进行1次化验，并按照化验结果添加适当的辛基醇化物及防腐剂溶液，化验应由具有相应资质的检测单位进行，费用由乙方承担；</w:t>
      </w:r>
    </w:p>
    <w:p>
      <w:pPr>
        <w:numPr>
          <w:ilvl w:val="0"/>
          <w:numId w:val="5"/>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维护保养、维修工作所产生的有毒有害污染环境物品，由乙方负责回收并处置；</w:t>
      </w:r>
    </w:p>
    <w:p>
      <w:pPr>
        <w:numPr>
          <w:ilvl w:val="0"/>
          <w:numId w:val="5"/>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乙方承诺项目</w:t>
      </w:r>
      <w:r>
        <w:rPr>
          <w:rFonts w:hint="eastAsia" w:ascii="仿宋_GB2312" w:hAnsi="仿宋_GB2312" w:eastAsia="仿宋_GB2312" w:cs="仿宋_GB2312"/>
          <w:b/>
          <w:bCs/>
          <w:sz w:val="32"/>
          <w:szCs w:val="32"/>
          <w:u w:val="single"/>
        </w:rPr>
        <w:t>贰台</w:t>
      </w:r>
      <w:r>
        <w:rPr>
          <w:rFonts w:hint="eastAsia" w:ascii="仿宋_GB2312" w:hAnsi="仿宋_GB2312" w:eastAsia="仿宋_GB2312" w:cs="仿宋_GB2312"/>
          <w:sz w:val="32"/>
          <w:szCs w:val="32"/>
          <w:u w:val="single"/>
        </w:rPr>
        <w:t>直燃型冷热水机组</w:t>
      </w:r>
      <w:r>
        <w:rPr>
          <w:rFonts w:hint="eastAsia" w:ascii="仿宋_GB2312" w:hAnsi="仿宋_GB2312" w:eastAsia="仿宋_GB2312" w:cs="仿宋_GB2312"/>
          <w:sz w:val="32"/>
          <w:szCs w:val="32"/>
        </w:rPr>
        <w:t>（型号：GD 60 BCX）</w:t>
      </w:r>
      <w:r>
        <w:rPr>
          <w:rFonts w:hint="eastAsia" w:ascii="仿宋_GB2312" w:hAnsi="仿宋_GB2312" w:eastAsia="仿宋_GB2312" w:cs="仿宋_GB2312"/>
          <w:sz w:val="32"/>
          <w:szCs w:val="32"/>
          <w:lang w:val="en-US" w:eastAsia="zh-CN"/>
        </w:rPr>
        <w:t>维护保养后，其制冷、制热效能不低于空调系统出厂时标准理论效能的80%以上；</w:t>
      </w:r>
    </w:p>
    <w:p>
      <w:pPr>
        <w:numPr>
          <w:ilvl w:val="0"/>
          <w:numId w:val="5"/>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乙方提供的配件或甲方委托乙方代购的配件，乙方保证是原厂配件且为合格品。</w:t>
      </w:r>
    </w:p>
    <w:p>
      <w:pPr>
        <w:numPr>
          <w:ilvl w:val="0"/>
          <w:numId w:val="1"/>
        </w:numPr>
        <w:spacing w:line="520" w:lineRule="exact"/>
        <w:ind w:left="0" w:leftChars="0" w:firstLine="0" w:firstLineChars="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特别约定事项</w:t>
      </w:r>
    </w:p>
    <w:p>
      <w:pPr>
        <w:numPr>
          <w:ilvl w:val="0"/>
          <w:numId w:val="6"/>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一般故障停机维修时间不得超过1个工作日，严重故障停机维修时间不得超过5个工作日 （含节假日时间），重特大故障停机维修时间由双方协商解决。若因此造成的超时停机并给甲方带来实际损失，双方协商；</w:t>
      </w:r>
    </w:p>
    <w:p>
      <w:pPr>
        <w:numPr>
          <w:ilvl w:val="0"/>
          <w:numId w:val="6"/>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乙方维保服务达不到合同约定的标准，有权要求乙方进行整改，相关整改费用由乙方自行承担，且甲方有权根据考核情况适当扣减费用。一年内累计三次考核不合格，视为年度考核不合格，甲方有权终止合同，由乙方承担违约责任；</w:t>
      </w:r>
    </w:p>
    <w:p>
      <w:pPr>
        <w:numPr>
          <w:ilvl w:val="0"/>
          <w:numId w:val="6"/>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在接到甲方报修后，若因乙方未及时到达现场影响甲方使用且造成损失，甲方有权按每次200.00元扣除维护保养服务费（甲方操作不当等原因除外）；</w:t>
      </w:r>
    </w:p>
    <w:p>
      <w:pPr>
        <w:pStyle w:val="2"/>
        <w:rPr>
          <w:rFonts w:hint="eastAsia"/>
          <w:lang w:val="en-US" w:eastAsia="zh-CN"/>
        </w:rPr>
      </w:pPr>
    </w:p>
    <w:p>
      <w:pPr>
        <w:numPr>
          <w:ilvl w:val="0"/>
          <w:numId w:val="1"/>
        </w:numPr>
        <w:spacing w:line="520" w:lineRule="exact"/>
        <w:ind w:left="0" w:leftChars="0" w:firstLine="0" w:firstLineChars="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其他事项</w:t>
      </w:r>
    </w:p>
    <w:p>
      <w:pPr>
        <w:numPr>
          <w:ilvl w:val="0"/>
          <w:numId w:val="7"/>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任何一方不得将本合同及附件所涉及的内容向第三方泄漏，违者按本合同总金额的贰倍向守约方支付违约金；</w:t>
      </w:r>
    </w:p>
    <w:p>
      <w:pPr>
        <w:numPr>
          <w:ilvl w:val="0"/>
          <w:numId w:val="7"/>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若因甲方签订的物业服务合同到期，本合同自动终止，并按实际维保时间结算维护保养服务费，乙方须协助甲方办理空调机组移交。</w:t>
      </w:r>
    </w:p>
    <w:p>
      <w:pPr>
        <w:numPr>
          <w:ilvl w:val="0"/>
          <w:numId w:val="7"/>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本合同一式五份（甲方三份、乙方两份），经甲乙双方签字盖章后生效，附件与合同正本具有相同法律效力；</w:t>
      </w:r>
    </w:p>
    <w:p>
      <w:pPr>
        <w:numPr>
          <w:ilvl w:val="0"/>
          <w:numId w:val="7"/>
        </w:numPr>
        <w:ind w:left="825" w:leftChars="0" w:hanging="60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其它未尽事宜，双方本着友好的原则协商解决，如协商不成，双方均可向设备所在地（四川省成都市）人民法院提起诉讼。</w:t>
      </w:r>
    </w:p>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   《乙方维护保养承诺》</w:t>
      </w:r>
    </w:p>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   《定期检查范围》</w:t>
      </w:r>
    </w:p>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   《年度维护保养范围》</w:t>
      </w:r>
    </w:p>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   《维护保养要求》</w:t>
      </w:r>
    </w:p>
    <w:p>
      <w:pPr>
        <w:spacing w:line="440" w:lineRule="exact"/>
        <w:ind w:left="23" w:leftChars="-27" w:right="-269" w:rightChars="-128" w:hanging="80" w:hangingChars="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附件5   《直燃型冷热水机组维保服务考核表》</w:t>
      </w:r>
    </w:p>
    <w:p>
      <w:pPr>
        <w:spacing w:line="440" w:lineRule="exact"/>
        <w:ind w:left="1475" w:leftChars="0" w:hanging="1475" w:hangingChars="461"/>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附件6   《零配件单件单价金额1000.00元以内（含1000.00元）免费清单》</w:t>
      </w:r>
    </w:p>
    <w:p>
      <w:pPr>
        <w:spacing w:line="480" w:lineRule="exact"/>
        <w:ind w:firstLine="640" w:firstLineChars="20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甲方：成都华昌物业发展有限责任公司</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乙方</w:t>
      </w:r>
      <w:r>
        <w:rPr>
          <w:rFonts w:hint="eastAsia" w:ascii="仿宋_GB2312" w:hAnsi="仿宋_GB2312" w:eastAsia="仿宋_GB2312"/>
          <w:color w:val="auto"/>
          <w:sz w:val="28"/>
          <w:szCs w:val="28"/>
        </w:rPr>
        <w:t>北京三汇能环科技发展有限公司</w:t>
      </w:r>
    </w:p>
    <w:p>
      <w:pPr>
        <w:spacing w:line="48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法定代表或授权</w:t>
      </w:r>
      <w:r>
        <w:rPr>
          <w:rFonts w:hint="eastAsia" w:ascii="仿宋_GB2312" w:hAnsi="仿宋_GB2312" w:eastAsia="仿宋_GB2312" w:cs="仿宋_GB2312"/>
          <w:color w:val="000000"/>
          <w:sz w:val="28"/>
          <w:szCs w:val="28"/>
          <w:lang w:eastAsia="zh-CN"/>
        </w:rPr>
        <w:t>人：</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法定代表或授权</w:t>
      </w:r>
      <w:r>
        <w:rPr>
          <w:rFonts w:hint="eastAsia" w:ascii="仿宋_GB2312" w:hAnsi="仿宋_GB2312" w:eastAsia="仿宋_GB2312" w:cs="仿宋_GB2312"/>
          <w:color w:val="000000"/>
          <w:sz w:val="28"/>
          <w:szCs w:val="28"/>
          <w:lang w:eastAsia="zh-CN"/>
        </w:rPr>
        <w:t>人：</w:t>
      </w:r>
    </w:p>
    <w:p>
      <w:pPr>
        <w:spacing w:line="480" w:lineRule="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地址：成都市青羊区人民中路一段28号</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shd w:val="clear" w:fill="FFFF00"/>
        </w:rPr>
        <w:t>地址：</w:t>
      </w:r>
      <w:r>
        <w:rPr>
          <w:rFonts w:hint="eastAsia" w:ascii="仿宋_GB2312" w:hAnsi="仿宋_GB2312" w:eastAsia="仿宋_GB2312" w:cs="仿宋_GB2312"/>
          <w:color w:val="000000"/>
          <w:sz w:val="28"/>
          <w:szCs w:val="28"/>
          <w:shd w:val="clear" w:fill="FFFF00"/>
          <w:lang w:eastAsia="zh-CN"/>
        </w:rPr>
        <w:t>北京市丰台区南木樨园</w:t>
      </w:r>
      <w:r>
        <w:rPr>
          <w:rFonts w:hint="eastAsia" w:ascii="仿宋_GB2312" w:hAnsi="仿宋_GB2312" w:eastAsia="仿宋_GB2312" w:cs="仿宋_GB2312"/>
          <w:color w:val="000000"/>
          <w:sz w:val="28"/>
          <w:szCs w:val="28"/>
          <w:shd w:val="clear" w:fill="FFFF00"/>
          <w:lang w:val="en-US" w:eastAsia="zh-CN"/>
        </w:rPr>
        <w:t>18号</w:t>
      </w:r>
    </w:p>
    <w:p>
      <w:pPr>
        <w:spacing w:line="480" w:lineRule="auto"/>
        <w:rPr>
          <w:rFonts w:hint="eastAsia" w:ascii="仿宋_GB2312" w:hAnsi="仿宋_GB2312" w:eastAsia="仿宋_GB2312" w:cs="仿宋_GB2312"/>
          <w:color w:val="000000"/>
          <w:sz w:val="28"/>
          <w:szCs w:val="28"/>
          <w:shd w:val="clear" w:fill="FFFF00"/>
          <w:lang w:val="en-US" w:eastAsia="zh-CN"/>
        </w:rPr>
      </w:pPr>
      <w:r>
        <w:rPr>
          <w:rFonts w:hint="eastAsia" w:ascii="仿宋_GB2312" w:hAnsi="仿宋_GB2312" w:eastAsia="仿宋_GB2312" w:cs="仿宋_GB2312"/>
          <w:color w:val="000000"/>
          <w:sz w:val="28"/>
          <w:szCs w:val="28"/>
        </w:rPr>
        <w:t xml:space="preserve">电话：（028）86279080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shd w:val="clear" w:fill="FFFF00"/>
        </w:rPr>
        <w:t>电话：</w:t>
      </w:r>
      <w:r>
        <w:rPr>
          <w:rFonts w:hint="eastAsia" w:ascii="仿宋_GB2312" w:hAnsi="仿宋_GB2312" w:eastAsia="仿宋_GB2312" w:cs="仿宋_GB2312"/>
          <w:color w:val="000000"/>
          <w:sz w:val="28"/>
          <w:szCs w:val="28"/>
          <w:shd w:val="clear" w:fill="FFFF00"/>
          <w:lang w:val="en-US" w:eastAsia="zh-CN"/>
        </w:rPr>
        <w:t>010-52892872</w:t>
      </w:r>
    </w:p>
    <w:p>
      <w:pPr>
        <w:spacing w:line="480" w:lineRule="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联系人：</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联系人：</w:t>
      </w:r>
      <w:bookmarkStart w:id="1" w:name="_GoBack"/>
      <w:bookmarkEnd w:id="1"/>
    </w:p>
    <w:p>
      <w:pPr>
        <w:pStyle w:val="2"/>
        <w:rPr>
          <w:rFonts w:hint="eastAsia"/>
          <w:lang w:eastAsia="zh-CN"/>
        </w:rPr>
      </w:pPr>
      <w:r>
        <w:rPr>
          <w:rFonts w:hint="eastAsia" w:ascii="仿宋_GB2312" w:hAnsi="仿宋_GB2312" w:eastAsia="仿宋_GB2312" w:cs="仿宋_GB2312"/>
          <w:color w:val="000000"/>
          <w:sz w:val="28"/>
          <w:szCs w:val="28"/>
          <w:lang w:eastAsia="zh-CN"/>
        </w:rPr>
        <w:t>联系电话：</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联系电话：</w:t>
      </w:r>
    </w:p>
    <w:p>
      <w:pPr>
        <w:spacing w:line="36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签订日期：</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年   月   日          </w:t>
      </w:r>
      <w:r>
        <w:rPr>
          <w:rFonts w:hint="eastAsia" w:ascii="仿宋_GB2312" w:hAnsi="仿宋_GB2312" w:eastAsia="仿宋_GB2312" w:cs="仿宋_GB2312"/>
          <w:color w:val="000000"/>
          <w:sz w:val="28"/>
          <w:szCs w:val="28"/>
          <w:lang w:eastAsia="zh-CN"/>
        </w:rPr>
        <w:t>签订日期：</w:t>
      </w:r>
      <w:r>
        <w:rPr>
          <w:rFonts w:hint="eastAsia" w:ascii="仿宋_GB2312" w:hAnsi="仿宋_GB2312" w:eastAsia="仿宋_GB2312" w:cs="仿宋_GB2312"/>
          <w:color w:val="000000"/>
          <w:sz w:val="28"/>
          <w:szCs w:val="28"/>
        </w:rPr>
        <w:t xml:space="preserve">    年   月   日</w:t>
      </w:r>
    </w:p>
    <w:p>
      <w:pPr>
        <w:spacing w:line="360" w:lineRule="exact"/>
        <w:ind w:firstLine="800" w:firstLineChars="250"/>
        <w:rPr>
          <w:rFonts w:hint="eastAsia" w:ascii="仿宋_GB2312" w:hAnsi="仿宋_GB2312" w:eastAsia="仿宋_GB2312" w:cs="仿宋_GB2312"/>
          <w:color w:val="000000"/>
          <w:sz w:val="32"/>
          <w:szCs w:val="32"/>
        </w:rPr>
      </w:pPr>
    </w:p>
    <w:p>
      <w:pPr>
        <w:spacing w:line="52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附件1</w:t>
      </w:r>
    </w:p>
    <w:p>
      <w:pPr>
        <w:spacing w:line="52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乙方维护保养承诺</w:t>
      </w:r>
    </w:p>
    <w:p>
      <w:pPr>
        <w:spacing w:line="520" w:lineRule="exact"/>
        <w:ind w:left="448" w:hanging="640" w:hanging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   定期检查，乙方配备</w:t>
      </w:r>
      <w:r>
        <w:rPr>
          <w:rFonts w:hint="eastAsia" w:ascii="仿宋_GB2312" w:hAnsi="仿宋_GB2312" w:eastAsia="仿宋_GB2312" w:cs="仿宋_GB2312"/>
          <w:sz w:val="32"/>
          <w:szCs w:val="32"/>
          <w:lang w:eastAsia="zh-CN"/>
        </w:rPr>
        <w:t>具</w:t>
      </w:r>
      <w:r>
        <w:rPr>
          <w:rFonts w:hint="eastAsia" w:ascii="仿宋_GB2312" w:hAnsi="仿宋_GB2312" w:eastAsia="仿宋_GB2312" w:cs="仿宋_GB2312"/>
          <w:sz w:val="32"/>
          <w:szCs w:val="32"/>
        </w:rPr>
        <w:t>有相关资质的服务专业工程师每月对甲方直燃型冷热水机组进行</w:t>
      </w:r>
      <w:r>
        <w:rPr>
          <w:rFonts w:hint="eastAsia" w:ascii="仿宋_GB2312" w:hAnsi="仿宋_GB2312" w:eastAsia="仿宋_GB2312" w:cs="仿宋_GB2312"/>
          <w:sz w:val="32"/>
          <w:szCs w:val="32"/>
          <w:u w:val="single"/>
        </w:rPr>
        <w:t>1次</w:t>
      </w:r>
      <w:r>
        <w:rPr>
          <w:rFonts w:hint="eastAsia" w:ascii="仿宋_GB2312" w:hAnsi="仿宋_GB2312" w:eastAsia="仿宋_GB2312" w:cs="仿宋_GB2312"/>
          <w:sz w:val="32"/>
          <w:szCs w:val="32"/>
        </w:rPr>
        <w:t>定期检查和维护保养，时间为</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rPr>
        <w:t>个工作日（八个小时），维护保养内容参见</w:t>
      </w:r>
      <w:r>
        <w:rPr>
          <w:rFonts w:hint="eastAsia" w:ascii="仿宋_GB2312" w:hAnsi="仿宋_GB2312" w:eastAsia="仿宋_GB2312" w:cs="仿宋_GB2312"/>
          <w:bCs/>
          <w:color w:val="000000"/>
          <w:sz w:val="32"/>
          <w:szCs w:val="32"/>
        </w:rPr>
        <w:t>附件2</w:t>
      </w:r>
      <w:r>
        <w:rPr>
          <w:rFonts w:hint="eastAsia" w:ascii="仿宋_GB2312" w:hAnsi="仿宋_GB2312" w:eastAsia="仿宋_GB2312" w:cs="仿宋_GB2312"/>
          <w:color w:val="000000"/>
          <w:sz w:val="32"/>
          <w:szCs w:val="32"/>
        </w:rPr>
        <w:t>；</w:t>
      </w:r>
    </w:p>
    <w:p>
      <w:pPr>
        <w:spacing w:line="520" w:lineRule="exact"/>
        <w:ind w:left="448" w:hanging="640"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合同期间维护保养</w:t>
      </w: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次，制冷\制热运行前（停机检修期间），乙方专业工程师对本合同约定的直燃型冷热水机组进行每次为期</w:t>
      </w:r>
      <w:r>
        <w:rPr>
          <w:rFonts w:hint="eastAsia" w:ascii="仿宋_GB2312" w:hAnsi="仿宋_GB2312" w:eastAsia="仿宋_GB2312" w:cs="仿宋_GB2312"/>
          <w:sz w:val="32"/>
          <w:szCs w:val="32"/>
          <w:u w:val="single"/>
        </w:rPr>
        <w:t>5</w:t>
      </w:r>
      <w:r>
        <w:rPr>
          <w:rFonts w:hint="eastAsia" w:ascii="仿宋_GB2312" w:hAnsi="仿宋_GB2312" w:eastAsia="仿宋_GB2312" w:cs="仿宋_GB2312"/>
          <w:sz w:val="32"/>
          <w:szCs w:val="32"/>
        </w:rPr>
        <w:t>天的年度维护，每天共计8小时，维护保养内容参见</w:t>
      </w:r>
      <w:r>
        <w:rPr>
          <w:rFonts w:hint="eastAsia" w:ascii="仿宋_GB2312" w:hAnsi="仿宋_GB2312" w:eastAsia="仿宋_GB2312" w:cs="仿宋_GB2312"/>
          <w:bCs/>
          <w:color w:val="000000"/>
          <w:sz w:val="32"/>
          <w:szCs w:val="32"/>
        </w:rPr>
        <w:t>附件3</w:t>
      </w:r>
      <w:r>
        <w:rPr>
          <w:rFonts w:hint="eastAsia" w:ascii="仿宋_GB2312" w:hAnsi="仿宋_GB2312" w:eastAsia="仿宋_GB2312" w:cs="仿宋_GB2312"/>
          <w:sz w:val="32"/>
          <w:szCs w:val="32"/>
        </w:rPr>
        <w:t>；</w:t>
      </w:r>
    </w:p>
    <w:p>
      <w:pPr>
        <w:spacing w:line="520" w:lineRule="exact"/>
        <w:ind w:left="448" w:hanging="640"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溴化锂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w:t>
      </w:r>
      <w:r>
        <w:rPr>
          <w:rFonts w:hint="eastAsia" w:ascii="仿宋_GB2312" w:hAnsi="仿宋_GB2312" w:eastAsia="仿宋_GB2312" w:cs="仿宋_GB2312"/>
          <w:sz w:val="32"/>
          <w:szCs w:val="32"/>
          <w:lang w:eastAsia="zh-CN"/>
        </w:rPr>
        <w:t>质</w:t>
      </w:r>
      <w:r>
        <w:rPr>
          <w:rFonts w:hint="eastAsia" w:ascii="仿宋_GB2312" w:hAnsi="仿宋_GB2312" w:eastAsia="仿宋_GB2312" w:cs="仿宋_GB2312"/>
          <w:sz w:val="32"/>
          <w:szCs w:val="32"/>
        </w:rPr>
        <w:t>分析，乙方专业工程师在制</w:t>
      </w:r>
      <w:r>
        <w:rPr>
          <w:rFonts w:hint="eastAsia" w:ascii="仿宋_GB2312" w:hAnsi="仿宋_GB2312" w:eastAsia="仿宋_GB2312" w:cs="仿宋_GB2312"/>
          <w:sz w:val="32"/>
          <w:szCs w:val="32"/>
          <w:lang w:eastAsia="zh-CN"/>
        </w:rPr>
        <w:t>冷</w:t>
      </w:r>
      <w:r>
        <w:rPr>
          <w:rFonts w:hint="eastAsia" w:ascii="仿宋_GB2312" w:hAnsi="仿宋_GB2312" w:eastAsia="仿宋_GB2312" w:cs="仿宋_GB2312"/>
          <w:sz w:val="32"/>
          <w:szCs w:val="32"/>
          <w:lang w:val="en-US" w:eastAsia="zh-CN"/>
        </w:rPr>
        <w:t>、制</w:t>
      </w:r>
      <w:r>
        <w:rPr>
          <w:rFonts w:hint="eastAsia" w:ascii="仿宋_GB2312" w:hAnsi="仿宋_GB2312" w:eastAsia="仿宋_GB2312" w:cs="仿宋_GB2312"/>
          <w:sz w:val="32"/>
          <w:szCs w:val="32"/>
        </w:rPr>
        <w:t>热停机检修期间</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进行</w:t>
      </w: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次溴化锂</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水</w:t>
      </w:r>
      <w:r>
        <w:rPr>
          <w:rFonts w:hint="eastAsia" w:ascii="仿宋_GB2312" w:hAnsi="仿宋_GB2312" w:eastAsia="仿宋_GB2312" w:cs="仿宋_GB2312"/>
          <w:sz w:val="32"/>
          <w:szCs w:val="32"/>
          <w:lang w:eastAsia="zh-CN"/>
        </w:rPr>
        <w:t>质</w:t>
      </w:r>
      <w:r>
        <w:rPr>
          <w:rFonts w:hint="eastAsia" w:ascii="仿宋_GB2312" w:hAnsi="仿宋_GB2312" w:eastAsia="仿宋_GB2312" w:cs="仿宋_GB2312"/>
          <w:sz w:val="32"/>
          <w:szCs w:val="32"/>
        </w:rPr>
        <w:t>分析</w:t>
      </w:r>
      <w:r>
        <w:rPr>
          <w:rFonts w:hint="eastAsia" w:ascii="仿宋_GB2312" w:hAnsi="仿宋_GB2312" w:eastAsia="仿宋_GB2312" w:cs="仿宋_GB2312"/>
          <w:sz w:val="32"/>
          <w:szCs w:val="32"/>
          <w:lang w:eastAsia="zh-CN"/>
        </w:rPr>
        <w:t>并出具报告</w:t>
      </w:r>
      <w:r>
        <w:rPr>
          <w:rFonts w:hint="eastAsia" w:ascii="仿宋_GB2312" w:hAnsi="仿宋_GB2312" w:eastAsia="仿宋_GB2312" w:cs="仿宋_GB2312"/>
          <w:sz w:val="32"/>
          <w:szCs w:val="32"/>
        </w:rPr>
        <w:t>，内容参见</w:t>
      </w:r>
      <w:r>
        <w:rPr>
          <w:rFonts w:hint="eastAsia" w:ascii="仿宋_GB2312" w:hAnsi="仿宋_GB2312" w:eastAsia="仿宋_GB2312" w:cs="仿宋_GB2312"/>
          <w:bCs/>
          <w:color w:val="000000"/>
          <w:sz w:val="32"/>
          <w:szCs w:val="32"/>
        </w:rPr>
        <w:t>附件4</w:t>
      </w:r>
      <w:r>
        <w:rPr>
          <w:rFonts w:hint="eastAsia" w:ascii="仿宋_GB2312" w:hAnsi="仿宋_GB2312" w:eastAsia="仿宋_GB2312" w:cs="仿宋_GB2312"/>
          <w:sz w:val="32"/>
          <w:szCs w:val="32"/>
        </w:rPr>
        <w:t>；</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总体维护保养约定；</w:t>
      </w:r>
    </w:p>
    <w:p>
      <w:pPr>
        <w:spacing w:line="520" w:lineRule="exact"/>
        <w:ind w:left="336" w:hanging="480" w:hanging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乙方服务专业工程师负责指导甲方人员正确使用和维护直燃型冷热水机组；</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b.除校正服务之外，定期维护服务应按照附件2中所述内容进行；</w:t>
      </w:r>
    </w:p>
    <w:p>
      <w:pPr>
        <w:spacing w:line="520" w:lineRule="exact"/>
        <w:ind w:left="336" w:hanging="480" w:hanging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c.如果甲方在没有提前通知乙方的情况下改变设备的所有权属关系或对设备进行移机，乙方有权提前15天通知甲方中止维护保养合同并对原合同不再承担任何责任；</w:t>
      </w:r>
    </w:p>
    <w:p>
      <w:pPr>
        <w:spacing w:line="520" w:lineRule="exact"/>
        <w:ind w:left="224"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d.甲方应负责清除影响乙方服务工程师进行维护保养工作的障碍物，（如墙壁，屋顶）乙方须协助；</w:t>
      </w:r>
    </w:p>
    <w:p>
      <w:pPr>
        <w:spacing w:line="520" w:lineRule="exact"/>
        <w:ind w:left="224"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e.乙方服务工程师在定期维护中将出具一份《维护保养报告》，此份报告应由甲方指定代表进行签字确认，作为乙方服务工程师进行维护保养工作的书面凭证;</w:t>
      </w:r>
    </w:p>
    <w:p>
      <w:pPr>
        <w:spacing w:line="520" w:lineRule="exact"/>
        <w:ind w:left="224"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f.因不可抗力，乙方服务工程师无法按时到达甲方所在地对设备进行维护保养工作，因而导致设备受到损失或破坏，乙方对此将不承担任何责任，乙方应当依法提供不可抗力证明；</w:t>
      </w:r>
    </w:p>
    <w:p>
      <w:pPr>
        <w:spacing w:line="520" w:lineRule="exact"/>
        <w:ind w:left="448" w:hanging="640"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g.机组停机期间冷热切换，乙方保证提供冷暖切换模式工作的顺利进行，共</w:t>
      </w:r>
      <w:r>
        <w:rPr>
          <w:rFonts w:hint="eastAsia" w:ascii="仿宋_GB2312" w:hAnsi="仿宋_GB2312" w:eastAsia="仿宋_GB2312" w:cs="仿宋_GB2312"/>
          <w:bCs/>
          <w:sz w:val="32"/>
          <w:szCs w:val="32"/>
        </w:rPr>
        <w:t xml:space="preserve"> 2</w:t>
      </w:r>
      <w:r>
        <w:rPr>
          <w:rFonts w:hint="eastAsia" w:ascii="仿宋_GB2312" w:hAnsi="仿宋_GB2312" w:eastAsia="仿宋_GB2312" w:cs="仿宋_GB2312"/>
          <w:sz w:val="32"/>
          <w:szCs w:val="32"/>
        </w:rPr>
        <w:t>次，每次2天。</w:t>
      </w:r>
    </w:p>
    <w:p>
      <w:pPr>
        <w:spacing w:line="520" w:lineRule="exact"/>
        <w:ind w:left="448" w:hanging="640" w:hangingChars="200"/>
        <w:rPr>
          <w:rFonts w:hint="eastAsia" w:ascii="仿宋_GB2312" w:hAnsi="仿宋_GB2312" w:eastAsia="仿宋_GB2312" w:cs="仿宋_GB2312"/>
          <w:sz w:val="32"/>
          <w:szCs w:val="32"/>
        </w:rPr>
      </w:pPr>
    </w:p>
    <w:p>
      <w:pPr>
        <w:spacing w:line="520" w:lineRule="exact"/>
        <w:ind w:left="448" w:hanging="640" w:hangingChars="200"/>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2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定期检查范围</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每次定期(</w:t>
      </w:r>
      <w:r>
        <w:rPr>
          <w:rFonts w:hint="eastAsia" w:ascii="仿宋_GB2312" w:hAnsi="仿宋_GB2312" w:eastAsia="仿宋_GB2312" w:cs="仿宋_GB2312"/>
          <w:b/>
          <w:sz w:val="32"/>
          <w:szCs w:val="32"/>
        </w:rPr>
        <w:t>每月</w:t>
      </w:r>
      <w:r>
        <w:rPr>
          <w:rFonts w:hint="eastAsia" w:ascii="仿宋_GB2312" w:hAnsi="仿宋_GB2312" w:eastAsia="仿宋_GB2312" w:cs="仿宋_GB2312"/>
          <w:sz w:val="32"/>
          <w:szCs w:val="32"/>
        </w:rPr>
        <w:t>)检查维护保养均需按下列内容进行：</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真空</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真空泵抽取的最大真空度（4mmHg）；</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储气罐的真空度(＜50mmHg）；</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管壳真空度(60mmHg)；</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任何目测泄漏(760mmHg)；</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如果真空泵有污染情况发生，须清洗掉真空压力计的油污。</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B.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燃料</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发生器温度和压力(≤160℃/＜0bar)；</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燃料进口温度和压力(5kpa)；</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烟气温度(≤250℃)；</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检查燃料过滤器；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安全设施和仪器；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冰水温度控制器/PLC运转情况；</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发生器温度控制器运转情况；</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冰水泵联锁运转情况；</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冷却水泵联锁运转情况；</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烟气温度控制器运转情况；</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防冻热敏电阻运转情况；</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L-切断操作的制冷泵运转情况；</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制冷剂水平继电器+电极的运转情况；</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吸收式水平继电器+电极运转情况；</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冰水流量开关和D.P.开关的运转情况；</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检查任何松懈情况；</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吸收泵的轴承状态；</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制冷剂泵的轴承情况；</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吸收泵、制冷泵和排气泵实际电流；</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燃烧器的实际流量。</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操作性</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冰水进口温度(12℃)；</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冰水出口温度(≥7℃)；</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冰水进口压力(0.8Mpa,不得高于1.2 Mpa)；</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冰水出口压力(0.7Mpa,不得高于1.2 Mpa)；</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冰水流量(50-60﹪，470M3/h)；</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冷却水进口温度（≥22℃＜32℃）；</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冷却水出口温度（≤36℃）；</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冷却水进口压力（0.8Mpa）；</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冷却水出口压力（0.75Mpa）；</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燃料供应压强(7.6-7.8kpa)；</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制冷剂污染级别(＜1.04)；</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制冷剂温度（U型管）；</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LTHE温度曲线；</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充入辛基醇化物；</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充入防腐剂；</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蒸发器内制冷剂喷射状态；</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吸收泵压；</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蒸发器、吸收器和发生器的流体水平；</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清洁燃料过滤器，喷嘴，扩散器和电极。</w:t>
      </w:r>
    </w:p>
    <w:p>
      <w:pPr>
        <w:spacing w:line="520" w:lineRule="exact"/>
        <w:ind w:firstLine="640" w:firstLineChars="200"/>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附件3</w:t>
      </w:r>
    </w:p>
    <w:p>
      <w:pPr>
        <w:spacing w:line="52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年度维护保养范围</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在年度维护保养中，乙方服务工程师将进行以下检查：</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观测蒸发器盘管；</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观测吸收器和冷凝器盘管的状态；</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对吸收器和冷凝器盘管进行机械清洁；</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观测HTG中的盘管；</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拧紧液视镜的螺栓；</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去除真空压力计的液体；</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过滤溴化锂溶液（甲方重新充入的溴化锂费用另计）；</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清洁冰水温度传感器；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清洁流量计开关阀门；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拆卸和清洗真空泵；</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清洗电气接触器；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对蒸发器盘管进行加热除脂；</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置换排气单元的隔板（隔板由甲方供应）；</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充入氮气；</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对不良品进行更换；</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检验仪器；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进行检漏测试；</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清洁燃料过滤器，喷嘴，扩散器和电极；</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清洁发生器温度传感器；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清洁烟气温度传感器；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测试各种安全设施和控制器：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1）冰水防冻热敏电阻；</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2）冰水流量开关和D.P.开关；</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3）发生器温度控制器；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4）制冷泵L切割；</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5）容量控制回路；</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6）蒸汽控制阀门/燃烧器系统/PLC运转情况；</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7）泵水平继电器+电极；</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8）制冷泵水平继电器+电极；</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9）烟气温度控制器；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10）火焰传感器；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11）顺序控制器；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12）炉膛清理。</w:t>
      </w: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附件4</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维护保养要求</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1.维保的必要性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溴化锂制冷机使用一段时间之后，机组的密封元件(橡胶等)出现老化,造成密封不严,机组漏气容易进入氧气,形成腐蚀，电器元件老化,造成漏电,误动作甚至烧毁显示屏,程序控制器等元件；机组铜管腐蚀和结垢,造成铜管破裂和传热效果下降，溴化锂溶液发生质变对机组形成腐蚀，所以必须对机组进行每年二次维护保养，以保证机组高效安全的运行,防止故障的发生,延长机组的使用寿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整机整体维保要求</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机组气密性检查：用减压表和氧气带，往机组内腔充氮气0.7±5℅Kg，正压保压24小时，泄漏不超过0.5mmHg；</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机组设定参数调整：如冷媒水出水低温保护设定、冷却水高温报警设定、高发高压报警设定、高发溶液温度高温报警设定等等；</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时间继电器设定调整：设定时间继电器延时时间，使设备在适当时间内启动；</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热继电器设定调整：主要有真空泵热继电器、溶液泵热继电器、冷剂泵热继电器，主要设定延时时间，检测热继电器接触是否良好，保护是否正常；</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温度控制器调整：修正温度控制器温度偏差，使其与实际相符；</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压力控制器参数调整：调整机组各部的报警压力；</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压力表检查：检查（用同类合格压力表）压力表（特别是真空压力表）是否显示正常，不正常的更换；</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炉膛清理：机组以气为能源，长时间燃烧会积聚很多碳及其他废物，碳及其他废物会堵塞烟管，从而影响正常燃烧，影响高发溶液加热，影响制冷和采暖效果，导致能耗增加：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拆开高发炉膛两端盖；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b抽出烟管波纹条并清理；</w:t>
      </w:r>
    </w:p>
    <w:p>
      <w:pPr>
        <w:ind w:left="640" w:hanging="640"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c用铁刷和轴连接，清刷烟管内测，然后用吸尘器清理污垢</w:t>
      </w:r>
    </w:p>
    <w:p>
      <w:pPr>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d装上波纹条并用铁丝穿连（以防燃烧时将其吹出烟管，达不到节能效果）波纹条前端；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e清除高发两端板上的石棉密封绳；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f用厚白漆粘石棉密封绳，将两端板装上。</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3.机组保护装置维保要求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水靶流保护装置检修：冷温水温度保护装置、冷却水靶流保护装置检修，检查靶流开关动作是否灵活，断水实验是否报警，根据检查、实验结果，决定是否更换靶流开关；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高发超温保护装置检修：检查高发温度探头是否失灵，显示温度是否准确，接线是否牢固，根据检查结果决定是否更换温度探头；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高发压力控制器检修：检查高发安全阀片是否正常，决定是否更换膜片；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高发液位、冷剂液位保护检修：检修液位探头，确保线头连接牢固，传感液位信号准确；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屏蔽泵绝缘检修：检查屏蔽泵接线，绝缘是否良好，运行温度温度是否正常。</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4．自动调节性能维保要求</w:t>
      </w:r>
    </w:p>
    <w:p>
      <w:pPr>
        <w:ind w:left="672"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（1）机组负荷自动调节性能检修：机组负荷性能自动调节主要根据机组低温保护自动停机、燃烧机大、小火等进行调节，因此要检查燃烧机进行调节，调节溶液阀、冷剂阀，使其达到最佳效果；</w:t>
      </w:r>
    </w:p>
    <w:p>
      <w:pPr>
        <w:ind w:left="560" w:hanging="800" w:hanging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（2）高发液位自动调节检修：高发液位是通过液位探头进行控制，检查是否有假液位现象，如有假液位现象，拆下探头进行清洗，清洗干净后用螺纹胶密封并调节探头位置；</w:t>
      </w:r>
    </w:p>
    <w:p>
      <w:pPr>
        <w:ind w:left="560" w:hanging="800" w:hanging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（3）冷却塔风机自动控制检修（主机部分）：对与机组联动的冷却塔风机控制部分进行灵敏度进行检查，控制器件是否完好；</w:t>
      </w:r>
    </w:p>
    <w:p>
      <w:pPr>
        <w:ind w:left="448" w:hanging="640"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（4）冷剂液位自动调节检修：此项与“液位自动调节检修”一样。</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5．机组性能调节维保要求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溶液循环阀、冷剂喷淋调节：根据高发液位、冷剂水箱液位、制冷温度等调节溶液阀、冷剂水，使溶液、冷剂水循环适度；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溶液浓度调节：直燃机溶液浓度混合溶液一般为53%--55%，抽机组溶液检测浓度，如浓度较低，就抽冷剂水，抽多少冷剂水就加多少升溶液，如浓度较高，就加冷剂水；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（3）溶液定期取样分析（</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color w:val="auto"/>
          <w:sz w:val="32"/>
          <w:szCs w:val="32"/>
        </w:rPr>
        <w:t>次</w:t>
      </w:r>
      <w:r>
        <w:rPr>
          <w:rFonts w:hint="eastAsia" w:ascii="仿宋_GB2312" w:hAnsi="仿宋_GB2312" w:eastAsia="仿宋_GB2312" w:cs="仿宋_GB2312"/>
          <w:sz w:val="32"/>
          <w:szCs w:val="32"/>
        </w:rPr>
        <w:t>）：（原化工部制冷用溴化锂溶液标准）；</w:t>
      </w:r>
    </w:p>
    <w:tbl>
      <w:tblPr>
        <w:tblStyle w:val="9"/>
        <w:tblW w:w="80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3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41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       目</w:t>
            </w:r>
          </w:p>
        </w:tc>
        <w:tc>
          <w:tcPr>
            <w:tcW w:w="363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原化工部标准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溴化锂含量（%）</w:t>
            </w:r>
          </w:p>
        </w:tc>
        <w:tc>
          <w:tcPr>
            <w:tcW w:w="363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441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PH值</w:t>
            </w:r>
          </w:p>
        </w:tc>
        <w:tc>
          <w:tcPr>
            <w:tcW w:w="363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0</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10</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铬酸锂含量（%）</w:t>
            </w:r>
          </w:p>
        </w:tc>
        <w:tc>
          <w:tcPr>
            <w:tcW w:w="363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2-0</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氯化物含量（%）</w:t>
            </w:r>
          </w:p>
        </w:tc>
        <w:tc>
          <w:tcPr>
            <w:tcW w:w="363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硫酸盐含量（%）</w:t>
            </w:r>
          </w:p>
        </w:tc>
        <w:tc>
          <w:tcPr>
            <w:tcW w:w="363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441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铵盐含量  （%）</w:t>
            </w:r>
          </w:p>
        </w:tc>
        <w:tc>
          <w:tcPr>
            <w:tcW w:w="363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441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溴酸盐含量（%）</w:t>
            </w:r>
          </w:p>
        </w:tc>
        <w:tc>
          <w:tcPr>
            <w:tcW w:w="363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钾和钠含量（%）</w:t>
            </w:r>
          </w:p>
        </w:tc>
        <w:tc>
          <w:tcPr>
            <w:tcW w:w="363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钙含量    （%）</w:t>
            </w:r>
          </w:p>
        </w:tc>
        <w:tc>
          <w:tcPr>
            <w:tcW w:w="363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镁含量    （%）</w:t>
            </w:r>
          </w:p>
        </w:tc>
        <w:tc>
          <w:tcPr>
            <w:tcW w:w="363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铁含量    （%）</w:t>
            </w:r>
          </w:p>
        </w:tc>
        <w:tc>
          <w:tcPr>
            <w:tcW w:w="363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41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碳酸盐含量（%）</w:t>
            </w:r>
          </w:p>
        </w:tc>
        <w:tc>
          <w:tcPr>
            <w:tcW w:w="363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04</w:t>
            </w:r>
          </w:p>
        </w:tc>
      </w:tr>
    </w:tbl>
    <w:p>
      <w:pPr>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auto"/>
          <w:sz w:val="32"/>
          <w:szCs w:val="32"/>
        </w:rPr>
        <w:t>冷剂水污染分析：取冷剂水样测其浓度应低于</w:t>
      </w:r>
      <w:r>
        <w:rPr>
          <w:rFonts w:hint="eastAsia" w:ascii="仿宋_GB2312" w:hAnsi="仿宋_GB2312" w:eastAsia="仿宋_GB2312" w:cs="仿宋_GB2312"/>
          <w:b/>
          <w:color w:val="auto"/>
          <w:sz w:val="32"/>
          <w:szCs w:val="32"/>
          <w:u w:val="single"/>
        </w:rPr>
        <w:t>1.04</w:t>
      </w:r>
      <w:r>
        <w:rPr>
          <w:rFonts w:hint="eastAsia" w:ascii="仿宋_GB2312" w:hAnsi="仿宋_GB2312" w:eastAsia="仿宋_GB2312" w:cs="仿宋_GB2312"/>
          <w:color w:val="auto"/>
          <w:sz w:val="32"/>
          <w:szCs w:val="32"/>
        </w:rPr>
        <w:t>。</w:t>
      </w:r>
    </w:p>
    <w:p>
      <w:pPr>
        <w:numPr>
          <w:ilvl w:val="0"/>
          <w:numId w:val="8"/>
        </w:numPr>
        <w:ind w:left="337" w:hanging="482" w:hangingChars="15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电控柜维保要求</w:t>
      </w:r>
    </w:p>
    <w:p>
      <w:pPr>
        <w:ind w:left="-315" w:left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绝缘检修、清灰除尘、紧固接线端子、电源接地检修、指示灯检修。</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 真空泵维保要求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（1）传动带松紧调整；</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（2）电机绝缘检修； </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（3）泵腔清洗。</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8．燃烧机调节维保要求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（1）燃烧头位置调节；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（2）风门位置调节；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（3）排烟成分检测；</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（4）燃烧效率分析。</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9．燃烧机维保要求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（1）过滤器清洗检漏；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（2）火焰检测器清理；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（3）点火电极位置调整；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（4）风机叶轮清洗；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（5）燃气调压器检修；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（6）蝶阀检修；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（7）燃气比例调节；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（8）燃气放散操作；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（9）燃气压力调节；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（10）燃气空气比例开关检修；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（11）燃气电磁阀检修；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（12）燃烧电机绝缘检修。</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10．机组机械电器维保要求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（1）整机捡漏；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（2）阀门膜片检查；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（3）老化电器元件更换；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（4）制冷结束维护；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（5）供热结束维护；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（6）角阀密封件更换；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（7）整机铜管内部检查,物理清洗；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（8）水室橡胶板更换。</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11．燃气系统维保要求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（1）过滤器清洗；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（2）供气管道捡漏（机组部分）。</w:t>
      </w: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spacing w:line="600" w:lineRule="exact"/>
        <w:ind w:right="-269" w:rightChars="-128"/>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直燃型冷热水机组维保服务考核表</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lang w:eastAsia="zh-CN"/>
        </w:rPr>
        <w:t>）</w:t>
      </w:r>
    </w:p>
    <w:tbl>
      <w:tblPr>
        <w:tblStyle w:val="9"/>
        <w:tblW w:w="1075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25"/>
        <w:gridCol w:w="659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62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 目</w:t>
            </w:r>
          </w:p>
        </w:tc>
        <w:tc>
          <w:tcPr>
            <w:tcW w:w="659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考核内容</w:t>
            </w:r>
          </w:p>
        </w:tc>
        <w:tc>
          <w:tcPr>
            <w:tcW w:w="157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25" w:type="dxa"/>
            <w:vMerge w:val="restart"/>
            <w:tcBorders>
              <w:top w:val="single" w:color="auto" w:sz="4" w:space="0"/>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服务规范</w:t>
            </w: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⑴维保人员未着工装或未佩带工作牌；</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⑵维保现场是否施放安全警示标识；</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⑶服务用语是否规范；对客服务态度是否礼貌；</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⑷维修、保养、巡检记录不全；填写不规范，记录无签章；</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⑸维保工作是否妨碍客户正常工作或生活；</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⑹是否遵守华昌公司及物业服务中心的管理制度及规定；</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⑺维保人员未持证上岗；</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⑻未遵守安全、环保操作规程，发生安全事故及造成环境污染；</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⑼有无因服务态度发生客户投诉。</w:t>
            </w:r>
          </w:p>
        </w:tc>
        <w:tc>
          <w:tcPr>
            <w:tcW w:w="1575" w:type="dxa"/>
            <w:tcBorders>
              <w:top w:val="single" w:color="auto" w:sz="4" w:space="0"/>
              <w:left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8"/>
                <w:szCs w:val="28"/>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考核标准</w:t>
            </w:r>
          </w:p>
        </w:tc>
        <w:tc>
          <w:tcPr>
            <w:tcW w:w="817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pacing w:val="-10"/>
                <w:sz w:val="28"/>
                <w:szCs w:val="28"/>
              </w:rPr>
            </w:pPr>
            <w:r>
              <w:rPr>
                <w:rFonts w:hint="eastAsia" w:ascii="仿宋_GB2312" w:hAnsi="仿宋_GB2312" w:eastAsia="仿宋_GB2312" w:cs="仿宋_GB2312"/>
                <w:sz w:val="28"/>
                <w:szCs w:val="28"/>
              </w:rPr>
              <w:t>符合用“√”表示，不符合用“×”，发生以上不符合项目按合同约定扣款或100元/项/次元扣款。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625" w:type="dxa"/>
            <w:vMerge w:val="restart"/>
            <w:tcBorders>
              <w:top w:val="single" w:color="auto" w:sz="4" w:space="0"/>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服务质量</w:t>
            </w: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28"/>
                <w:szCs w:val="28"/>
              </w:rPr>
              <w:t>⑴未按计划内容进行维保，有缺项或未达到要求；</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⑵接故障时，合同约定时间内未到；</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项目重大活动期间是否及时安排人员现场值班；</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⑷节假日未提前递交值班计划；</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⑸报修电话无人接听；</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⑹私自改动电气、电子线路、安全设置和设备零部件等；</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⑺未提供变动后相关技术资料；</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⑻损坏或污染设施设备或物品；</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⑼未备齐常用配件，造成机组停机；</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⑿</w:t>
            </w:r>
            <w:r>
              <w:rPr>
                <w:rFonts w:hint="eastAsia" w:ascii="仿宋_GB2312" w:hAnsi="仿宋_GB2312" w:eastAsia="仿宋_GB2312" w:cs="仿宋_GB2312"/>
                <w:sz w:val="28"/>
                <w:szCs w:val="28"/>
              </w:rPr>
              <w:t>未按要求对物业服务中心空调人员进行培训；</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1625" w:type="dxa"/>
            <w:vMerge w:val="continue"/>
            <w:tcBorders>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p>
        </w:tc>
        <w:tc>
          <w:tcPr>
            <w:tcW w:w="659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⒀不配合物业公司设备整改或其它工作安排。</w:t>
            </w:r>
          </w:p>
        </w:tc>
        <w:tc>
          <w:tcPr>
            <w:tcW w:w="157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8"/>
                <w:szCs w:val="28"/>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考核标准</w:t>
            </w:r>
          </w:p>
        </w:tc>
        <w:tc>
          <w:tcPr>
            <w:tcW w:w="8170" w:type="dxa"/>
            <w:gridSpan w:val="2"/>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符合用“√”表示，不符合用“×”，发生以上不符合项目按合同约定扣款或200元/项/次扣款。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60"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结果</w:t>
            </w:r>
          </w:p>
        </w:tc>
        <w:tc>
          <w:tcPr>
            <w:tcW w:w="822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仿宋_GB2312"/>
                <w:sz w:val="28"/>
                <w:szCs w:val="28"/>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8"/>
                <w:szCs w:val="28"/>
              </w:rPr>
            </w:pPr>
          </w:p>
        </w:tc>
        <w:tc>
          <w:tcPr>
            <w:tcW w:w="822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合计扣款:</w:t>
            </w:r>
          </w:p>
        </w:tc>
        <w:tc>
          <w:tcPr>
            <w:tcW w:w="157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r>
    </w:tbl>
    <w:p>
      <w:pPr>
        <w:spacing w:line="300" w:lineRule="exact"/>
        <w:rPr>
          <w:rFonts w:hint="eastAsia" w:ascii="仿宋_GB2312" w:hAnsi="仿宋_GB2312" w:eastAsia="仿宋_GB2312" w:cs="仿宋_GB2312"/>
          <w:sz w:val="32"/>
          <w:szCs w:val="32"/>
        </w:rPr>
      </w:pPr>
    </w:p>
    <w:p>
      <w:pPr>
        <w:spacing w:line="300" w:lineRule="exact"/>
        <w:ind w:left="6" w:leftChars="3"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           审批：                  确认：</w:t>
      </w:r>
    </w:p>
    <w:p>
      <w:pPr>
        <w:spacing w:line="300" w:lineRule="exact"/>
        <w:ind w:left="6" w:leftChars="3" w:firstLine="320" w:firstLineChars="100"/>
        <w:rPr>
          <w:rFonts w:hint="eastAsia" w:ascii="仿宋_GB2312" w:hAnsi="仿宋_GB2312" w:eastAsia="仿宋_GB2312" w:cs="仿宋_GB2312"/>
          <w:bCs/>
          <w:sz w:val="32"/>
          <w:szCs w:val="32"/>
        </w:rPr>
      </w:pPr>
    </w:p>
    <w:p>
      <w:pPr>
        <w:spacing w:line="300" w:lineRule="exact"/>
        <w:ind w:left="6" w:leftChars="3" w:firstLine="320" w:firstLineChars="100"/>
        <w:rPr>
          <w:rFonts w:hint="eastAsia" w:ascii="仿宋_GB2312" w:hAnsi="仿宋_GB2312" w:eastAsia="仿宋_GB2312" w:cs="仿宋_GB2312"/>
          <w:bCs/>
          <w:sz w:val="32"/>
          <w:szCs w:val="32"/>
        </w:rPr>
      </w:pPr>
    </w:p>
    <w:p>
      <w:pPr>
        <w:spacing w:line="300" w:lineRule="exact"/>
        <w:ind w:left="6" w:leftChars="3" w:firstLine="320" w:firstLineChars="100"/>
        <w:rPr>
          <w:rFonts w:hint="eastAsia" w:ascii="仿宋_GB2312" w:hAnsi="仿宋_GB2312" w:eastAsia="仿宋_GB2312" w:cs="仿宋_GB2312"/>
          <w:bCs/>
          <w:sz w:val="32"/>
          <w:szCs w:val="32"/>
        </w:rPr>
      </w:pPr>
    </w:p>
    <w:p>
      <w:pPr>
        <w:spacing w:line="300" w:lineRule="exact"/>
        <w:ind w:left="6" w:leftChars="3" w:firstLine="320" w:firstLineChars="100"/>
        <w:rPr>
          <w:rFonts w:hint="eastAsia" w:ascii="仿宋_GB2312" w:hAnsi="仿宋_GB2312" w:eastAsia="仿宋_GB2312" w:cs="仿宋_GB2312"/>
          <w:bCs/>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附件6</w:t>
      </w:r>
    </w:p>
    <w:p>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零配件单件单价金额</w:t>
      </w:r>
      <w:r>
        <w:rPr>
          <w:rFonts w:hint="eastAsia" w:ascii="仿宋_GB2312" w:hAnsi="仿宋_GB2312" w:eastAsia="仿宋_GB2312" w:cs="仿宋_GB2312"/>
          <w:b w:val="0"/>
          <w:bCs w:val="0"/>
          <w:sz w:val="32"/>
          <w:szCs w:val="32"/>
          <w:lang w:eastAsia="zh-CN"/>
        </w:rPr>
        <w:t>含税</w:t>
      </w:r>
      <w:r>
        <w:rPr>
          <w:rFonts w:hint="default" w:ascii="Arial" w:hAnsi="Arial" w:eastAsia="仿宋_GB2312" w:cs="Arial"/>
          <w:b w:val="0"/>
          <w:bCs w:val="0"/>
          <w:sz w:val="32"/>
          <w:szCs w:val="32"/>
          <w:lang w:eastAsia="zh-CN"/>
        </w:rPr>
        <w:t>¥</w:t>
      </w:r>
      <w:r>
        <w:rPr>
          <w:rFonts w:hint="eastAsia" w:ascii="仿宋_GB2312" w:hAnsi="仿宋_GB2312" w:eastAsia="仿宋_GB2312" w:cs="仿宋_GB2312"/>
          <w:b w:val="0"/>
          <w:bCs w:val="0"/>
          <w:sz w:val="32"/>
          <w:szCs w:val="32"/>
        </w:rPr>
        <w:t>1000.00元以内（含1000.00元）清单</w:t>
      </w:r>
    </w:p>
    <w:tbl>
      <w:tblPr>
        <w:tblStyle w:val="9"/>
        <w:tblW w:w="10260" w:type="dxa"/>
        <w:tblInd w:w="-432" w:type="dxa"/>
        <w:tblLayout w:type="fixed"/>
        <w:tblCellMar>
          <w:top w:w="0" w:type="dxa"/>
          <w:left w:w="108" w:type="dxa"/>
          <w:bottom w:w="0" w:type="dxa"/>
          <w:right w:w="108" w:type="dxa"/>
        </w:tblCellMar>
      </w:tblPr>
      <w:tblGrid>
        <w:gridCol w:w="1003"/>
        <w:gridCol w:w="2495"/>
        <w:gridCol w:w="1991"/>
        <w:gridCol w:w="859"/>
        <w:gridCol w:w="927"/>
        <w:gridCol w:w="2019"/>
        <w:gridCol w:w="966"/>
      </w:tblGrid>
      <w:tr>
        <w:tblPrEx>
          <w:tblLayout w:type="fixed"/>
          <w:tblCellMar>
            <w:top w:w="0" w:type="dxa"/>
            <w:left w:w="108" w:type="dxa"/>
            <w:bottom w:w="0" w:type="dxa"/>
            <w:right w:w="108" w:type="dxa"/>
          </w:tblCellMar>
        </w:tblPrEx>
        <w:trPr>
          <w:trHeight w:val="400" w:hRule="atLeast"/>
        </w:trPr>
        <w:tc>
          <w:tcPr>
            <w:tcW w:w="1003" w:type="dxa"/>
            <w:tcBorders>
              <w:top w:val="single" w:color="auto" w:sz="4" w:space="0"/>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2495" w:type="dxa"/>
            <w:tcBorders>
              <w:top w:val="single" w:color="auto" w:sz="4" w:space="0"/>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备件名称</w:t>
            </w:r>
          </w:p>
        </w:tc>
        <w:tc>
          <w:tcPr>
            <w:tcW w:w="1991" w:type="dxa"/>
            <w:tcBorders>
              <w:top w:val="single" w:color="auto" w:sz="4" w:space="0"/>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规格型号</w:t>
            </w:r>
          </w:p>
        </w:tc>
        <w:tc>
          <w:tcPr>
            <w:tcW w:w="859" w:type="dxa"/>
            <w:tcBorders>
              <w:top w:val="single" w:color="auto" w:sz="4" w:space="0"/>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w:t>
            </w:r>
          </w:p>
        </w:tc>
        <w:tc>
          <w:tcPr>
            <w:tcW w:w="927" w:type="dxa"/>
            <w:tcBorders>
              <w:top w:val="single" w:color="auto" w:sz="4" w:space="0"/>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数量</w:t>
            </w:r>
          </w:p>
        </w:tc>
        <w:tc>
          <w:tcPr>
            <w:tcW w:w="2019" w:type="dxa"/>
            <w:tcBorders>
              <w:top w:val="single" w:color="auto" w:sz="4" w:space="0"/>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p>
        </w:tc>
        <w:tc>
          <w:tcPr>
            <w:tcW w:w="966" w:type="dxa"/>
            <w:tcBorders>
              <w:top w:val="single" w:color="auto" w:sz="4" w:space="0"/>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备注</w:t>
            </w:r>
          </w:p>
        </w:tc>
      </w:tr>
      <w:tr>
        <w:tblPrEx>
          <w:tblLayout w:type="fixed"/>
          <w:tblCellMar>
            <w:top w:w="0" w:type="dxa"/>
            <w:left w:w="108" w:type="dxa"/>
            <w:bottom w:w="0" w:type="dxa"/>
            <w:right w:w="108" w:type="dxa"/>
          </w:tblCellMar>
        </w:tblPrEx>
        <w:trPr>
          <w:trHeight w:val="246"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电源</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P54AC10030</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264"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防冻温度调解器</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P46TS10010</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885</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252"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冷冻水流量开关</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P46FS10010</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270"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冷冻水压差开关</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P46DP10010</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380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258"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温度传感器</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P44TE1044N</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248"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液位电极棒</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C203160211</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264"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吸收器压力表</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P41PG10310</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185</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254"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服务阀门</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C007130700</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560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615"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保险</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特迈斯溴化锂机组用</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305"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玻璃视镜</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C007200100</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380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266"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玻璃视镜包装物</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HGRNNSD020</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254"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橡胶隔膜</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P33DV1003S</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300"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阻抗器</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DL-50EA3</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880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300"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辛醇</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Alco</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L</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495"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高发压力表</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EN837-1  CL.1</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185</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214"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高发压力控制器</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GM201.02A2K3</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580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300"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阻抗器</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DL-3T1</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880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300"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电阻器</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RX20-30</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550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300"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中间继电器</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MY2N-J</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55</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300"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控制器</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P-11</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300"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报警器</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HRB-P80A2</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85</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457"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炉膛温度显示器</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PXR-4TAY1-1V000-A</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380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300"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风扇</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F1092</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75</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495"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空气开关</w:t>
            </w:r>
          </w:p>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(西门子)</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5SJ62</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495"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空气开关</w:t>
            </w:r>
          </w:p>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(西门子)</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5SJ64</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495"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交流接触器</w:t>
            </w:r>
          </w:p>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(西门子)</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3TF33</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155</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495"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27</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热继电器</w:t>
            </w:r>
          </w:p>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(西门子)</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3UA52</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495"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28</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热继电器</w:t>
            </w:r>
          </w:p>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(西门子)</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3UA50</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495"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29</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交流接触器</w:t>
            </w:r>
          </w:p>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(西门子)</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3TF30</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155</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322"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保险(西门子)</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3NA3812-2C</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300"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中间继电器</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61F-GP-N</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35</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r>
        <w:tblPrEx>
          <w:tblLayout w:type="fixed"/>
          <w:tblCellMar>
            <w:top w:w="0" w:type="dxa"/>
            <w:left w:w="108" w:type="dxa"/>
            <w:bottom w:w="0" w:type="dxa"/>
            <w:right w:w="108" w:type="dxa"/>
          </w:tblCellMar>
        </w:tblPrEx>
        <w:trPr>
          <w:trHeight w:val="300" w:hRule="atLeast"/>
        </w:trPr>
        <w:tc>
          <w:tcPr>
            <w:tcW w:w="1003" w:type="dxa"/>
            <w:tcBorders>
              <w:top w:val="nil"/>
              <w:left w:val="single" w:color="auto" w:sz="4" w:space="0"/>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w:t>
            </w:r>
          </w:p>
        </w:tc>
        <w:tc>
          <w:tcPr>
            <w:tcW w:w="2495"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变压器</w:t>
            </w:r>
          </w:p>
        </w:tc>
        <w:tc>
          <w:tcPr>
            <w:tcW w:w="1991"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JBK5-630</w:t>
            </w:r>
          </w:p>
        </w:tc>
        <w:tc>
          <w:tcPr>
            <w:tcW w:w="85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27"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019" w:type="dxa"/>
            <w:tcBorders>
              <w:top w:val="nil"/>
              <w:left w:val="nil"/>
              <w:bottom w:val="single" w:color="auto" w:sz="4" w:space="0"/>
              <w:right w:val="single" w:color="auto" w:sz="4" w:space="0"/>
            </w:tcBorders>
            <w:vAlign w:val="bottom"/>
          </w:tcPr>
          <w:p>
            <w:pPr>
              <w:spacing w:line="3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680</w:t>
            </w:r>
          </w:p>
        </w:tc>
        <w:tc>
          <w:tcPr>
            <w:tcW w:w="966" w:type="dxa"/>
            <w:tcBorders>
              <w:top w:val="nil"/>
              <w:left w:val="nil"/>
              <w:bottom w:val="single" w:color="auto" w:sz="4" w:space="0"/>
              <w:right w:val="single" w:color="auto" w:sz="4" w:space="0"/>
            </w:tcBorders>
            <w:vAlign w:val="bottom"/>
          </w:tcPr>
          <w:p>
            <w:pPr>
              <w:spacing w:line="3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r>
    </w:tbl>
    <w:p>
      <w:pPr>
        <w:rPr>
          <w:rFonts w:hint="eastAsia" w:ascii="仿宋_GB2312" w:hAnsi="仿宋_GB2312" w:eastAsia="仿宋_GB2312" w:cs="仿宋_GB2312"/>
          <w:sz w:val="32"/>
          <w:szCs w:val="32"/>
        </w:rPr>
      </w:pPr>
    </w:p>
    <w:sectPr>
      <w:footerReference r:id="rId3" w:type="default"/>
      <w:pgSz w:w="11906" w:h="16838"/>
      <w:pgMar w:top="1440" w:right="952" w:bottom="1134" w:left="10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1073DA"/>
    <w:multiLevelType w:val="singleLevel"/>
    <w:tmpl w:val="B61073DA"/>
    <w:lvl w:ilvl="0" w:tentative="0">
      <w:start w:val="1"/>
      <w:numFmt w:val="chineseCounting"/>
      <w:suff w:val="nothing"/>
      <w:lvlText w:val="%1、"/>
      <w:lvlJc w:val="left"/>
      <w:pPr>
        <w:ind w:left="0" w:firstLine="420"/>
      </w:pPr>
      <w:rPr>
        <w:rFonts w:hint="eastAsia"/>
      </w:rPr>
    </w:lvl>
  </w:abstractNum>
  <w:abstractNum w:abstractNumId="1">
    <w:nsid w:val="C14EC294"/>
    <w:multiLevelType w:val="singleLevel"/>
    <w:tmpl w:val="C14EC294"/>
    <w:lvl w:ilvl="0" w:tentative="0">
      <w:start w:val="1"/>
      <w:numFmt w:val="decimal"/>
      <w:lvlText w:val="%1."/>
      <w:lvlJc w:val="left"/>
      <w:pPr>
        <w:ind w:left="425" w:hanging="425"/>
      </w:pPr>
      <w:rPr>
        <w:rFonts w:hint="default"/>
      </w:rPr>
    </w:lvl>
  </w:abstractNum>
  <w:abstractNum w:abstractNumId="2">
    <w:nsid w:val="C65FB0AC"/>
    <w:multiLevelType w:val="singleLevel"/>
    <w:tmpl w:val="C65FB0AC"/>
    <w:lvl w:ilvl="0" w:tentative="0">
      <w:start w:val="1"/>
      <w:numFmt w:val="decimal"/>
      <w:lvlText w:val="%1."/>
      <w:lvlJc w:val="left"/>
      <w:pPr>
        <w:ind w:left="425" w:hanging="425"/>
      </w:pPr>
      <w:rPr>
        <w:rFonts w:hint="default"/>
      </w:rPr>
    </w:lvl>
  </w:abstractNum>
  <w:abstractNum w:abstractNumId="3">
    <w:nsid w:val="F0B0CF9A"/>
    <w:multiLevelType w:val="singleLevel"/>
    <w:tmpl w:val="F0B0CF9A"/>
    <w:lvl w:ilvl="0" w:tentative="0">
      <w:start w:val="1"/>
      <w:numFmt w:val="decimal"/>
      <w:lvlText w:val="%1."/>
      <w:lvlJc w:val="left"/>
      <w:pPr>
        <w:ind w:left="425" w:hanging="425"/>
      </w:pPr>
      <w:rPr>
        <w:rFonts w:hint="default"/>
      </w:rPr>
    </w:lvl>
  </w:abstractNum>
  <w:abstractNum w:abstractNumId="4">
    <w:nsid w:val="0000000A"/>
    <w:multiLevelType w:val="singleLevel"/>
    <w:tmpl w:val="0000000A"/>
    <w:lvl w:ilvl="0" w:tentative="0">
      <w:start w:val="6"/>
      <w:numFmt w:val="decimal"/>
      <w:suff w:val="nothing"/>
      <w:lvlText w:val="%1．"/>
      <w:lvlJc w:val="left"/>
    </w:lvl>
  </w:abstractNum>
  <w:abstractNum w:abstractNumId="5">
    <w:nsid w:val="00B9C3F8"/>
    <w:multiLevelType w:val="singleLevel"/>
    <w:tmpl w:val="00B9C3F8"/>
    <w:lvl w:ilvl="0" w:tentative="0">
      <w:start w:val="1"/>
      <w:numFmt w:val="decimal"/>
      <w:lvlText w:val="%1."/>
      <w:lvlJc w:val="left"/>
      <w:pPr>
        <w:ind w:left="425" w:hanging="425"/>
      </w:pPr>
      <w:rPr>
        <w:rFonts w:hint="default"/>
      </w:rPr>
    </w:lvl>
  </w:abstractNum>
  <w:abstractNum w:abstractNumId="6">
    <w:nsid w:val="1DE354A0"/>
    <w:multiLevelType w:val="singleLevel"/>
    <w:tmpl w:val="1DE354A0"/>
    <w:lvl w:ilvl="0" w:tentative="0">
      <w:start w:val="1"/>
      <w:numFmt w:val="decimal"/>
      <w:lvlText w:val="%1."/>
      <w:lvlJc w:val="left"/>
      <w:pPr>
        <w:ind w:left="425" w:hanging="425"/>
      </w:pPr>
      <w:rPr>
        <w:rFonts w:hint="default"/>
      </w:rPr>
    </w:lvl>
  </w:abstractNum>
  <w:abstractNum w:abstractNumId="7">
    <w:nsid w:val="2CD31341"/>
    <w:multiLevelType w:val="singleLevel"/>
    <w:tmpl w:val="2CD31341"/>
    <w:lvl w:ilvl="0" w:tentative="0">
      <w:start w:val="1"/>
      <w:numFmt w:val="decimal"/>
      <w:lvlText w:val="%1."/>
      <w:lvlJc w:val="left"/>
      <w:pPr>
        <w:ind w:left="425" w:hanging="425"/>
      </w:pPr>
      <w:rPr>
        <w:rFonts w:hint="default"/>
      </w:rPr>
    </w:lvl>
  </w:abstractNum>
  <w:num w:numId="1">
    <w:abstractNumId w:val="0"/>
  </w:num>
  <w:num w:numId="2">
    <w:abstractNumId w:val="7"/>
  </w:num>
  <w:num w:numId="3">
    <w:abstractNumId w:val="2"/>
  </w:num>
  <w:num w:numId="4">
    <w:abstractNumId w:val="5"/>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C763E"/>
    <w:rsid w:val="00972EEF"/>
    <w:rsid w:val="014664FF"/>
    <w:rsid w:val="02F85D73"/>
    <w:rsid w:val="11402068"/>
    <w:rsid w:val="11613060"/>
    <w:rsid w:val="125E2736"/>
    <w:rsid w:val="133305E1"/>
    <w:rsid w:val="1FA60630"/>
    <w:rsid w:val="265A4C1F"/>
    <w:rsid w:val="26F42B69"/>
    <w:rsid w:val="2DCC709E"/>
    <w:rsid w:val="2FAB1C6F"/>
    <w:rsid w:val="303E6CDF"/>
    <w:rsid w:val="30AA647F"/>
    <w:rsid w:val="36A35531"/>
    <w:rsid w:val="397D1155"/>
    <w:rsid w:val="3ED95080"/>
    <w:rsid w:val="3EF0335C"/>
    <w:rsid w:val="46E97A1D"/>
    <w:rsid w:val="58D26E0F"/>
    <w:rsid w:val="5C33012A"/>
    <w:rsid w:val="62457D5E"/>
    <w:rsid w:val="6A1B0DD8"/>
    <w:rsid w:val="6DF523EA"/>
    <w:rsid w:val="6FDC763E"/>
    <w:rsid w:val="71915258"/>
    <w:rsid w:val="71B82E5F"/>
    <w:rsid w:val="73417E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link w:val="7"/>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styleId="3">
    <w:name w:val="Body Text Indent"/>
    <w:basedOn w:val="1"/>
    <w:qFormat/>
    <w:uiPriority w:val="0"/>
    <w:pPr>
      <w:ind w:firstLine="551" w:firstLineChars="200"/>
    </w:pPr>
    <w:rPr>
      <w:b/>
      <w:bCs/>
      <w:sz w:val="28"/>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 Char"/>
    <w:basedOn w:val="1"/>
    <w:link w:val="6"/>
    <w:qFormat/>
    <w:uiPriority w:val="0"/>
  </w:style>
  <w:style w:type="character" w:styleId="8">
    <w:name w:val="page number"/>
    <w:basedOn w:val="6"/>
    <w:qFormat/>
    <w:uiPriority w:val="0"/>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2020-06-05T02:28:00Z</dcterms:created>
  <dc:creator>李惊涛</dc:creator>
  <cp:lastModifiedBy>Administrator</cp:lastModifiedBy>
  <dcterms:modified xsi:type="dcterms:W3CDTF">2020-11-23T06:07:05Z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