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黑体" w:hAnsi="黑体" w:eastAsia="黑体"/>
          <w:b/>
          <w:color w:val="000000" w:themeColor="text1"/>
          <w:sz w:val="24"/>
          <w:szCs w:val="18"/>
          <w14:textFill>
            <w14:solidFill>
              <w14:schemeClr w14:val="tx1"/>
            </w14:solidFill>
          </w14:textFill>
        </w:rPr>
      </w:pPr>
      <w:bookmarkStart w:id="2" w:name="_GoBack"/>
      <w:bookmarkEnd w:id="2"/>
    </w:p>
    <w:p>
      <w:pPr>
        <w:spacing w:line="276" w:lineRule="auto"/>
        <w:rPr>
          <w:rFonts w:asciiTheme="minorEastAsia" w:hAnsiTheme="minorEastAsia" w:eastAsiaTheme="minorEastAsia"/>
          <w:color w:val="000000" w:themeColor="text1"/>
          <w:sz w:val="18"/>
          <w:szCs w:val="18"/>
          <w14:textFill>
            <w14:solidFill>
              <w14:schemeClr w14:val="tx1"/>
            </w14:solidFill>
          </w14:textFill>
        </w:rPr>
      </w:pPr>
    </w:p>
    <w:p>
      <w:pPr>
        <w:spacing w:line="276" w:lineRule="auto"/>
        <w:jc w:val="center"/>
        <w:rPr>
          <w:rFonts w:ascii="黑体" w:hAnsi="黑体" w:eastAsia="黑体"/>
          <w:color w:val="000000" w:themeColor="text1"/>
          <w:sz w:val="36"/>
          <w:szCs w:val="28"/>
          <w14:textFill>
            <w14:solidFill>
              <w14:schemeClr w14:val="tx1"/>
            </w14:solidFill>
          </w14:textFill>
        </w:rPr>
      </w:pPr>
      <w:r>
        <w:rPr>
          <w:rFonts w:hint="eastAsia" w:ascii="黑体" w:hAnsi="黑体" w:eastAsia="黑体"/>
          <w:color w:val="000000" w:themeColor="text1"/>
          <w:sz w:val="36"/>
          <w:szCs w:val="28"/>
          <w14:textFill>
            <w14:solidFill>
              <w14:schemeClr w14:val="tx1"/>
            </w14:solidFill>
          </w14:textFill>
        </w:rPr>
        <w:t>阳光合作协议</w:t>
      </w:r>
    </w:p>
    <w:p>
      <w:pPr>
        <w:spacing w:line="276" w:lineRule="auto"/>
        <w:jc w:val="center"/>
        <w:rPr>
          <w:rFonts w:asciiTheme="minorEastAsia" w:hAnsiTheme="minorEastAsia" w:eastAsiaTheme="minorEastAsia"/>
          <w:color w:val="0000FF"/>
          <w:sz w:val="24"/>
          <w:szCs w:val="28"/>
        </w:rPr>
      </w:pPr>
      <w:r>
        <w:rPr>
          <w:rFonts w:asciiTheme="minorEastAsia" w:hAnsiTheme="minorEastAsia" w:eastAsiaTheme="minorEastAsia"/>
          <w:color w:val="0000FF"/>
          <w:sz w:val="24"/>
          <w:szCs w:val="28"/>
        </w:rPr>
        <w:t>(2020年</w:t>
      </w:r>
      <w:r>
        <w:rPr>
          <w:rFonts w:hint="eastAsia" w:asciiTheme="minorEastAsia" w:hAnsiTheme="minorEastAsia" w:eastAsiaTheme="minorEastAsia"/>
          <w:color w:val="0000FF"/>
          <w:sz w:val="24"/>
          <w:szCs w:val="28"/>
        </w:rPr>
        <w:t>版——仅用于付款类</w:t>
      </w:r>
      <w:r>
        <w:rPr>
          <w:rFonts w:asciiTheme="minorEastAsia" w:hAnsiTheme="minorEastAsia" w:eastAsiaTheme="minorEastAsia"/>
          <w:color w:val="0000FF"/>
          <w:sz w:val="24"/>
          <w:szCs w:val="28"/>
        </w:rPr>
        <w:t>)</w:t>
      </w:r>
      <w:r>
        <w:rPr>
          <w:rFonts w:hint="eastAsia" w:asciiTheme="minorEastAsia" w:hAnsiTheme="minorEastAsia" w:eastAsiaTheme="minorEastAsia"/>
          <w:color w:val="0000FF"/>
          <w:sz w:val="24"/>
          <w:szCs w:val="28"/>
        </w:rPr>
        <w:t xml:space="preserve"> </w:t>
      </w:r>
    </w:p>
    <w:p>
      <w:pPr>
        <w:spacing w:line="276" w:lineRule="auto"/>
        <w:jc w:val="center"/>
        <w:rPr>
          <w:rFonts w:asciiTheme="minorEastAsia" w:hAnsiTheme="minorEastAsia" w:eastAsiaTheme="minorEastAsia"/>
          <w:color w:val="000000" w:themeColor="text1"/>
          <w:sz w:val="18"/>
          <w:szCs w:val="18"/>
          <w14:textFill>
            <w14:solidFill>
              <w14:schemeClr w14:val="tx1"/>
            </w14:solidFill>
          </w14:textFill>
        </w:rPr>
      </w:pPr>
    </w:p>
    <w:p>
      <w:pPr>
        <w:spacing w:line="360" w:lineRule="auto"/>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甲方：</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北京万科物业服务有限公司 </w:t>
      </w:r>
      <w:r>
        <w:rPr>
          <w:rFonts w:hint="eastAsia" w:asciiTheme="minorEastAsia" w:hAnsiTheme="minorEastAsia" w:eastAsiaTheme="minorEastAsia"/>
          <w:color w:val="0000FF"/>
          <w:sz w:val="24"/>
          <w:szCs w:val="24"/>
          <w:u w:val="single"/>
        </w:rPr>
        <w:t xml:space="preserve"> </w:t>
      </w:r>
      <w:r>
        <w:rPr>
          <w:rFonts w:asciiTheme="minorEastAsia" w:hAnsiTheme="minorEastAsia" w:eastAsiaTheme="minorEastAsia"/>
          <w:color w:val="0000FF"/>
          <w:sz w:val="24"/>
          <w:szCs w:val="24"/>
          <w:u w:val="single"/>
        </w:rPr>
        <w:t xml:space="preserve"> </w:t>
      </w:r>
      <w:r>
        <w:rPr>
          <w:rFonts w:hint="eastAsia" w:asciiTheme="minorEastAsia" w:hAnsiTheme="minorEastAsia" w:eastAsiaTheme="minorEastAsia"/>
          <w:color w:val="0000FF"/>
          <w:sz w:val="24"/>
          <w:szCs w:val="24"/>
        </w:rPr>
        <w:t>（注：万科物业方）</w:t>
      </w:r>
    </w:p>
    <w:p>
      <w:pPr>
        <w:spacing w:line="360" w:lineRule="auto"/>
        <w:contextualSpacing/>
        <w:rPr>
          <w:rFonts w:asciiTheme="minorEastAsia" w:hAnsiTheme="minorEastAsia" w:eastAsiaTheme="minorEastAsia"/>
          <w:b/>
          <w:sz w:val="24"/>
          <w:szCs w:val="24"/>
        </w:rPr>
      </w:pPr>
      <w:r>
        <w:rPr>
          <w:rFonts w:hint="eastAsia" w:asciiTheme="minorEastAsia" w:hAnsiTheme="minorEastAsia" w:eastAsiaTheme="minorEastAsia"/>
          <w:sz w:val="24"/>
          <w:szCs w:val="24"/>
        </w:rPr>
        <w:t>乙方：</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公司</w:t>
      </w:r>
      <w:r>
        <w:rPr>
          <w:rFonts w:hint="eastAsia" w:asciiTheme="minorEastAsia" w:hAnsiTheme="minorEastAsia" w:eastAsiaTheme="minorEastAsia"/>
          <w:color w:val="0000FF"/>
          <w:sz w:val="24"/>
          <w:szCs w:val="24"/>
        </w:rPr>
        <w:t>（注：供应方）</w:t>
      </w:r>
    </w:p>
    <w:p>
      <w:pPr>
        <w:spacing w:line="360" w:lineRule="auto"/>
        <w:contextualSpacing/>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因甲方拟向乙方采购物品或服务</w:t>
      </w:r>
      <w:r>
        <w:rPr>
          <w:rFonts w:asciiTheme="minorEastAsia" w:hAnsiTheme="minorEastAsia" w:eastAsiaTheme="minorEastAsia"/>
          <w:color w:val="000000" w:themeColor="text1"/>
          <w:sz w:val="24"/>
          <w:szCs w:val="24"/>
          <w14:textFill>
            <w14:solidFill>
              <w14:schemeClr w14:val="tx1"/>
            </w14:solidFill>
          </w14:textFill>
        </w:rPr>
        <w:t>，为</w:t>
      </w:r>
      <w:r>
        <w:rPr>
          <w:rFonts w:hint="eastAsia" w:asciiTheme="minorEastAsia" w:hAnsiTheme="minorEastAsia" w:eastAsiaTheme="minorEastAsia"/>
          <w:color w:val="000000" w:themeColor="text1"/>
          <w:sz w:val="24"/>
          <w:szCs w:val="24"/>
          <w14:textFill>
            <w14:solidFill>
              <w14:schemeClr w14:val="tx1"/>
            </w14:solidFill>
          </w14:textFill>
        </w:rPr>
        <w:t>营造健康的商业环境和建立正常商业合作关系，</w:t>
      </w:r>
      <w:r>
        <w:rPr>
          <w:rFonts w:asciiTheme="minorEastAsia" w:hAnsiTheme="minorEastAsia" w:eastAsiaTheme="minorEastAsia"/>
          <w:color w:val="000000" w:themeColor="text1"/>
          <w:sz w:val="24"/>
          <w:szCs w:val="24"/>
          <w14:textFill>
            <w14:solidFill>
              <w14:schemeClr w14:val="tx1"/>
            </w14:solidFill>
          </w14:textFill>
        </w:rPr>
        <w:t>经</w:t>
      </w:r>
      <w:r>
        <w:rPr>
          <w:rFonts w:hint="eastAsia" w:asciiTheme="minorEastAsia" w:hAnsiTheme="minorEastAsia" w:eastAsiaTheme="minorEastAsia"/>
          <w:color w:val="000000" w:themeColor="text1"/>
          <w:sz w:val="24"/>
          <w:szCs w:val="24"/>
          <w14:textFill>
            <w14:solidFill>
              <w14:schemeClr w14:val="tx1"/>
            </w14:solidFill>
          </w14:textFill>
        </w:rPr>
        <w:t>友好</w:t>
      </w:r>
      <w:r>
        <w:rPr>
          <w:rFonts w:asciiTheme="minorEastAsia" w:hAnsiTheme="minorEastAsia" w:eastAsiaTheme="minorEastAsia"/>
          <w:color w:val="000000" w:themeColor="text1"/>
          <w:sz w:val="24"/>
          <w:szCs w:val="24"/>
          <w14:textFill>
            <w14:solidFill>
              <w14:schemeClr w14:val="tx1"/>
            </w14:solidFill>
          </w14:textFill>
        </w:rPr>
        <w:t>协商</w:t>
      </w:r>
      <w:r>
        <w:rPr>
          <w:rFonts w:hint="eastAsia" w:asciiTheme="minorEastAsia" w:hAnsiTheme="minorEastAsia" w:eastAsiaTheme="minorEastAsia"/>
          <w:color w:val="000000" w:themeColor="text1"/>
          <w:sz w:val="24"/>
          <w:szCs w:val="24"/>
          <w14:textFill>
            <w14:solidFill>
              <w14:schemeClr w14:val="tx1"/>
            </w14:solidFill>
          </w14:textFill>
        </w:rPr>
        <w:t>签订</w:t>
      </w:r>
      <w:r>
        <w:rPr>
          <w:rFonts w:asciiTheme="minorEastAsia" w:hAnsiTheme="minorEastAsia" w:eastAsiaTheme="minorEastAsia"/>
          <w:color w:val="000000" w:themeColor="text1"/>
          <w:sz w:val="24"/>
          <w:szCs w:val="24"/>
          <w14:textFill>
            <w14:solidFill>
              <w14:schemeClr w14:val="tx1"/>
            </w14:solidFill>
          </w14:textFill>
        </w:rPr>
        <w:t>本协议</w:t>
      </w: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并作为双方共同遵守的阳光合作行为准则</w:t>
      </w:r>
      <w:r>
        <w:rPr>
          <w:rFonts w:hint="eastAsia" w:asciiTheme="minorEastAsia" w:hAnsiTheme="minorEastAsia" w:eastAsiaTheme="minorEastAsia"/>
          <w:color w:val="000000" w:themeColor="text1"/>
          <w:sz w:val="24"/>
          <w:szCs w:val="24"/>
          <w14:textFill>
            <w14:solidFill>
              <w14:schemeClr w14:val="tx1"/>
            </w14:solidFill>
          </w14:textFill>
        </w:rPr>
        <w:t>执行</w:t>
      </w:r>
      <w:r>
        <w:rPr>
          <w:rFonts w:asciiTheme="minorEastAsia" w:hAnsiTheme="minorEastAsia" w:eastAsiaTheme="minorEastAsia"/>
          <w:color w:val="000000" w:themeColor="text1"/>
          <w:sz w:val="24"/>
          <w:szCs w:val="24"/>
          <w14:textFill>
            <w14:solidFill>
              <w14:schemeClr w14:val="tx1"/>
            </w14:solidFill>
          </w14:textFill>
        </w:rPr>
        <w:t>。</w:t>
      </w:r>
    </w:p>
    <w:p>
      <w:pPr>
        <w:numPr>
          <w:ilvl w:val="0"/>
          <w:numId w:val="1"/>
        </w:numPr>
        <w:spacing w:line="360" w:lineRule="auto"/>
        <w:contextualSpacing/>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甲方权利义务</w:t>
      </w:r>
    </w:p>
    <w:p>
      <w:pPr>
        <w:tabs>
          <w:tab w:val="left" w:pos="284"/>
        </w:tabs>
        <w:spacing w:line="360" w:lineRule="auto"/>
        <w:contextualSpacing/>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 甲方有</w:t>
      </w:r>
      <w:r>
        <w:rPr>
          <w:rFonts w:hint="eastAsia" w:asciiTheme="minorEastAsia" w:hAnsiTheme="minorEastAsia" w:eastAsiaTheme="minorEastAsia"/>
          <w:color w:val="000000" w:themeColor="text1"/>
          <w:sz w:val="24"/>
          <w:szCs w:val="24"/>
          <w14:textFill>
            <w14:solidFill>
              <w14:schemeClr w14:val="tx1"/>
            </w14:solidFill>
          </w14:textFill>
        </w:rPr>
        <w:t>权</w:t>
      </w:r>
      <w:r>
        <w:rPr>
          <w:rFonts w:asciiTheme="minorEastAsia" w:hAnsiTheme="minorEastAsia" w:eastAsiaTheme="minorEastAsia"/>
          <w:color w:val="000000" w:themeColor="text1"/>
          <w:sz w:val="24"/>
          <w:szCs w:val="24"/>
          <w14:textFill>
            <w14:solidFill>
              <w14:schemeClr w14:val="tx1"/>
            </w14:solidFill>
          </w14:textFill>
        </w:rPr>
        <w:t>向乙方介绍</w:t>
      </w:r>
      <w:r>
        <w:rPr>
          <w:rFonts w:hint="eastAsia" w:asciiTheme="minorEastAsia" w:hAnsiTheme="minorEastAsia" w:eastAsiaTheme="minorEastAsia"/>
          <w:color w:val="000000" w:themeColor="text1"/>
          <w:sz w:val="24"/>
          <w:szCs w:val="24"/>
          <w14:textFill>
            <w14:solidFill>
              <w14:schemeClr w14:val="tx1"/>
            </w14:solidFill>
          </w14:textFill>
        </w:rPr>
        <w:t>甲方或万科集团（即万科企业股份有限公司及其下属或控股的公司）或万科物业（即万科物业发展股份有限公司及其下属或控股的公司）（以下统称“甲方及其关联公司”）阳光合作相关规定，并进行廉正风险提示和宣讲。</w:t>
      </w:r>
    </w:p>
    <w:p>
      <w:pPr>
        <w:tabs>
          <w:tab w:val="left" w:pos="284"/>
        </w:tabs>
        <w:spacing w:line="360" w:lineRule="auto"/>
        <w:contextualSpacing/>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 xml:space="preserve">2. </w:t>
      </w:r>
      <w:r>
        <w:rPr>
          <w:rFonts w:hint="eastAsia" w:asciiTheme="minorEastAsia" w:hAnsiTheme="minorEastAsia" w:eastAsiaTheme="minorEastAsia"/>
          <w:color w:val="000000" w:themeColor="text1"/>
          <w:sz w:val="24"/>
          <w:szCs w:val="24"/>
          <w14:textFill>
            <w14:solidFill>
              <w14:schemeClr w14:val="tx1"/>
            </w14:solidFill>
          </w14:textFill>
        </w:rPr>
        <w:t>甲方严禁甲方人员</w:t>
      </w:r>
      <w:r>
        <w:rPr>
          <w:rFonts w:hint="eastAsia" w:asciiTheme="minorEastAsia" w:hAnsiTheme="minorEastAsia" w:eastAsiaTheme="minorEastAsia"/>
          <w:sz w:val="24"/>
          <w:szCs w:val="24"/>
        </w:rPr>
        <w:t>（包括甲方员工、甲方的关联公司员工，下同）</w:t>
      </w:r>
      <w:r>
        <w:rPr>
          <w:rFonts w:hint="eastAsia" w:asciiTheme="minorEastAsia" w:hAnsiTheme="minorEastAsia" w:eastAsiaTheme="minorEastAsia"/>
          <w:color w:val="000000" w:themeColor="text1"/>
          <w:sz w:val="24"/>
          <w:szCs w:val="24"/>
          <w14:textFill>
            <w14:solidFill>
              <w14:schemeClr w14:val="tx1"/>
            </w14:solidFill>
          </w14:textFill>
        </w:rPr>
        <w:t>在业务合作过程出现下</w:t>
      </w:r>
    </w:p>
    <w:p>
      <w:pPr>
        <w:tabs>
          <w:tab w:val="left" w:pos="284"/>
        </w:tabs>
        <w:spacing w:line="360" w:lineRule="auto"/>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列行为（包括不限于）：</w:t>
      </w:r>
    </w:p>
    <w:p>
      <w:pPr>
        <w:spacing w:line="360" w:lineRule="auto"/>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（1）商业贿赂：</w:t>
      </w:r>
      <w:r>
        <w:rPr>
          <w:rFonts w:hint="eastAsia" w:asciiTheme="minorEastAsia" w:hAnsiTheme="minorEastAsia" w:eastAsiaTheme="minorEastAsia"/>
          <w:color w:val="000000" w:themeColor="text1"/>
          <w:sz w:val="24"/>
          <w:szCs w:val="24"/>
          <w14:textFill>
            <w14:solidFill>
              <w14:schemeClr w14:val="tx1"/>
            </w14:solidFill>
          </w14:textFill>
        </w:rPr>
        <w:t>甲方人员收受或向乙方及乙方人员主动索要各种</w:t>
      </w:r>
      <w:r>
        <w:rPr>
          <w:rFonts w:asciiTheme="minorEastAsia" w:hAnsiTheme="minorEastAsia" w:eastAsiaTheme="minorEastAsia"/>
          <w:color w:val="000000" w:themeColor="text1"/>
          <w:sz w:val="24"/>
          <w:szCs w:val="24"/>
          <w14:textFill>
            <w14:solidFill>
              <w14:schemeClr w14:val="tx1"/>
            </w14:solidFill>
          </w14:textFill>
        </w:rPr>
        <w:t>形式的</w:t>
      </w:r>
      <w:r>
        <w:rPr>
          <w:rFonts w:hint="eastAsia" w:asciiTheme="minorEastAsia" w:hAnsiTheme="minorEastAsia" w:eastAsiaTheme="minorEastAsia"/>
          <w:color w:val="000000" w:themeColor="text1"/>
          <w:sz w:val="24"/>
          <w:szCs w:val="24"/>
          <w14:textFill>
            <w14:solidFill>
              <w14:schemeClr w14:val="tx1"/>
            </w14:solidFill>
          </w14:textFill>
        </w:rPr>
        <w:t>回扣、</w:t>
      </w:r>
      <w:r>
        <w:rPr>
          <w:rFonts w:asciiTheme="minorEastAsia" w:hAnsiTheme="minorEastAsia" w:eastAsiaTheme="minorEastAsia"/>
          <w:color w:val="000000" w:themeColor="text1"/>
          <w:sz w:val="24"/>
          <w:szCs w:val="24"/>
          <w14:textFill>
            <w14:solidFill>
              <w14:schemeClr w14:val="tx1"/>
            </w14:solidFill>
          </w14:textFill>
        </w:rPr>
        <w:t>实物、现金</w:t>
      </w:r>
      <w:r>
        <w:rPr>
          <w:rFonts w:hint="eastAsia" w:asciiTheme="minorEastAsia" w:hAnsiTheme="minorEastAsia" w:eastAsiaTheme="minorEastAsia"/>
          <w:color w:val="000000" w:themeColor="text1"/>
          <w:sz w:val="24"/>
          <w:szCs w:val="24"/>
          <w14:textFill>
            <w14:solidFill>
              <w14:schemeClr w14:val="tx1"/>
            </w14:solidFill>
          </w14:textFill>
        </w:rPr>
        <w:t>、</w:t>
      </w:r>
    </w:p>
    <w:p>
      <w:pPr>
        <w:spacing w:line="360" w:lineRule="auto"/>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有价证券、礼券等有价物品，或接受并参与乙方及乙方人员提供的旅游、高档宴请或其他可能影响职务行为公正履行的活动（以下统称“财物”）；</w:t>
      </w:r>
    </w:p>
    <w:p>
      <w:pPr>
        <w:spacing w:line="360" w:lineRule="auto"/>
        <w:contextualSpacing/>
        <w:rPr>
          <w:rFonts w:asciiTheme="minorEastAsia" w:hAnsiTheme="minorEastAsia" w:eastAsiaTheme="minorEastAsia"/>
          <w:sz w:val="24"/>
          <w:szCs w:val="24"/>
        </w:rPr>
      </w:pPr>
      <w:r>
        <w:rPr>
          <w:rFonts w:hint="eastAsia" w:asciiTheme="minorEastAsia" w:hAnsiTheme="minorEastAsia" w:eastAsiaTheme="minorEastAsia"/>
          <w:b/>
          <w:sz w:val="24"/>
          <w:szCs w:val="24"/>
        </w:rPr>
        <w:t>（2）行贿及其他：</w:t>
      </w:r>
      <w:r>
        <w:rPr>
          <w:rFonts w:hint="eastAsia" w:asciiTheme="minorEastAsia" w:hAnsiTheme="minorEastAsia" w:eastAsiaTheme="minorEastAsia"/>
          <w:sz w:val="24"/>
          <w:szCs w:val="24"/>
        </w:rPr>
        <w:t>甲方人员要求乙方或乙方人员配合或协助进行各种形式的行贿（包括但不限于提供回扣、现金、实物、证券、礼券等有价物品）、不当利益输送在内的各类违法活动；</w:t>
      </w:r>
    </w:p>
    <w:p>
      <w:pPr>
        <w:spacing w:line="360" w:lineRule="auto"/>
        <w:contextualSpacing/>
        <w:rPr>
          <w:rFonts w:asciiTheme="minorEastAsia" w:hAnsiTheme="minorEastAsia" w:eastAsiaTheme="minorEastAsia"/>
          <w:sz w:val="24"/>
          <w:szCs w:val="24"/>
        </w:rPr>
      </w:pPr>
      <w:r>
        <w:rPr>
          <w:rFonts w:hint="eastAsia" w:asciiTheme="minorEastAsia" w:hAnsiTheme="minorEastAsia" w:eastAsiaTheme="minorEastAsia"/>
          <w:b/>
          <w:sz w:val="24"/>
          <w:szCs w:val="24"/>
        </w:rPr>
        <w:t>（3）利益冲突：</w:t>
      </w:r>
      <w:r>
        <w:rPr>
          <w:rFonts w:hint="eastAsia" w:asciiTheme="minorEastAsia" w:hAnsiTheme="minorEastAsia" w:eastAsiaTheme="minorEastAsia"/>
          <w:sz w:val="24"/>
          <w:szCs w:val="24"/>
        </w:rPr>
        <w:t>甲方人员未经甲方批准，以本人或其近亲属名义于乙方或其关联单位处直接或变相投资、参股、任职或获取其它利益；甲方禁止引入甲方或万科集团或万科物业离职人员注册或参股的公司成为甲方或万科物业供应商；</w:t>
      </w:r>
    </w:p>
    <w:p>
      <w:pPr>
        <w:spacing w:line="360" w:lineRule="auto"/>
        <w:ind w:left="61" w:leftChars="29"/>
        <w:contextualSpacing/>
        <w:rPr>
          <w:rFonts w:asciiTheme="minorEastAsia" w:hAnsiTheme="minorEastAsia" w:eastAsiaTheme="minorEastAsia"/>
          <w:sz w:val="24"/>
          <w:szCs w:val="24"/>
        </w:rPr>
      </w:pPr>
      <w:r>
        <w:rPr>
          <w:rFonts w:hint="eastAsia" w:asciiTheme="minorEastAsia" w:hAnsiTheme="minorEastAsia" w:eastAsiaTheme="minorEastAsia"/>
          <w:b/>
          <w:sz w:val="24"/>
          <w:szCs w:val="24"/>
        </w:rPr>
        <w:t>（4）串标围标：</w:t>
      </w:r>
      <w:r>
        <w:rPr>
          <w:rFonts w:hint="eastAsia" w:asciiTheme="minorEastAsia" w:hAnsiTheme="minorEastAsia" w:eastAsiaTheme="minorEastAsia"/>
          <w:sz w:val="24"/>
          <w:szCs w:val="24"/>
        </w:rPr>
        <w:t>甲方人员配合乙方进行串标或围标等违规违法采购行为。</w:t>
      </w:r>
    </w:p>
    <w:p>
      <w:pPr>
        <w:spacing w:line="360" w:lineRule="auto"/>
        <w:ind w:left="61" w:leftChars="29"/>
        <w:contextualSpacing/>
        <w:rPr>
          <w:rFonts w:asciiTheme="minorEastAsia" w:hAnsiTheme="minorEastAsia" w:eastAsiaTheme="minorEastAsia"/>
          <w:b/>
          <w:bCs/>
          <w:sz w:val="24"/>
          <w:szCs w:val="24"/>
        </w:rPr>
      </w:pPr>
      <w:r>
        <w:rPr>
          <w:rFonts w:hint="eastAsia" w:asciiTheme="minorEastAsia" w:hAnsiTheme="minorEastAsia" w:eastAsiaTheme="minorEastAsia"/>
          <w:b/>
          <w:sz w:val="24"/>
          <w:szCs w:val="24"/>
        </w:rPr>
        <w:t>（5）资金往来：</w:t>
      </w:r>
      <w:r>
        <w:rPr>
          <w:rFonts w:hint="eastAsia" w:asciiTheme="minorEastAsia" w:hAnsiTheme="minorEastAsia" w:eastAsiaTheme="minorEastAsia"/>
          <w:sz w:val="24"/>
          <w:szCs w:val="24"/>
        </w:rPr>
        <w:t>甲方人员或其近亲属以任何理由向乙方（含关联单位）或乙方人员借贷资金、协助过账、现金兑换、代付费用、代购物品、代发工资等任何形式的资金往来。</w:t>
      </w:r>
    </w:p>
    <w:p>
      <w:pPr>
        <w:spacing w:line="360" w:lineRule="auto"/>
        <w:ind w:left="61" w:leftChars="29"/>
        <w:contextualSpacing/>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（6）弄虚作假</w:t>
      </w:r>
      <w:r>
        <w:rPr>
          <w:rFonts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bCs/>
          <w:color w:val="000000" w:themeColor="text1"/>
          <w:sz w:val="24"/>
          <w:szCs w:val="24"/>
          <w14:textFill>
            <w14:solidFill>
              <w14:schemeClr w14:val="tx1"/>
            </w14:solidFill>
          </w14:textFill>
        </w:rPr>
        <w:t>甲方人员配合乙方弄虚作假、隐瞒欺诈的行为，包括但不限于</w:t>
      </w:r>
      <w:r>
        <w:rPr>
          <w:rFonts w:hint="eastAsia" w:asciiTheme="minorEastAsia" w:hAnsiTheme="minorEastAsia" w:eastAsiaTheme="minorEastAsia"/>
          <w:bCs/>
          <w:sz w:val="24"/>
          <w:szCs w:val="24"/>
        </w:rPr>
        <w:t>货不对板、工程造假、服务数据造假、考核工时造假、业绩数据造假、满意度造假、私单交易、资质造假</w:t>
      </w:r>
      <w:r>
        <w:rPr>
          <w:rFonts w:hint="eastAsia" w:asciiTheme="minorEastAsia" w:hAnsiTheme="minorEastAsia" w:eastAsiaTheme="minorEastAsia"/>
          <w:bCs/>
          <w:color w:val="000000" w:themeColor="text1"/>
          <w:sz w:val="24"/>
          <w:szCs w:val="24"/>
          <w14:textFill>
            <w14:solidFill>
              <w14:schemeClr w14:val="tx1"/>
            </w14:solidFill>
          </w14:textFill>
        </w:rPr>
        <w:t>等弄虚作假、隐瞒欺诈的行为。</w:t>
      </w:r>
    </w:p>
    <w:p>
      <w:pPr>
        <w:tabs>
          <w:tab w:val="left" w:pos="284"/>
        </w:tabs>
        <w:spacing w:line="360" w:lineRule="auto"/>
        <w:ind w:left="-600" w:firstLine="741" w:firstLineChars="309"/>
        <w:contextualSpacing/>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 xml:space="preserve">3. </w:t>
      </w:r>
      <w:r>
        <w:rPr>
          <w:rFonts w:hint="eastAsia" w:asciiTheme="minorEastAsia" w:hAnsiTheme="minorEastAsia" w:eastAsiaTheme="minorEastAsia"/>
          <w:color w:val="000000" w:themeColor="text1"/>
          <w:sz w:val="24"/>
          <w:szCs w:val="24"/>
          <w14:textFill>
            <w14:solidFill>
              <w14:schemeClr w14:val="tx1"/>
            </w14:solidFill>
          </w14:textFill>
        </w:rPr>
        <w:t>若甲方人员存在上述行为，甲方有权进行查处，并依据法律法规以及甲方的规章制度进行</w:t>
      </w:r>
    </w:p>
    <w:p>
      <w:pPr>
        <w:tabs>
          <w:tab w:val="left" w:pos="284"/>
        </w:tabs>
        <w:spacing w:line="360" w:lineRule="auto"/>
        <w:ind w:left="-600" w:firstLine="741" w:firstLineChars="309"/>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处理（该等行为属于甲方人员个人行为，</w:t>
      </w:r>
      <w:r>
        <w:rPr>
          <w:rFonts w:asciiTheme="minorEastAsia" w:hAnsiTheme="minorEastAsia" w:eastAsiaTheme="minorEastAsia"/>
          <w:color w:val="000000" w:themeColor="text1"/>
          <w:sz w:val="24"/>
          <w:szCs w:val="24"/>
          <w14:textFill>
            <w14:solidFill>
              <w14:schemeClr w14:val="tx1"/>
            </w14:solidFill>
          </w14:textFill>
        </w:rPr>
        <w:t>不构成</w:t>
      </w:r>
      <w:r>
        <w:rPr>
          <w:rFonts w:hint="eastAsia" w:asciiTheme="minorEastAsia" w:hAnsiTheme="minorEastAsia" w:eastAsiaTheme="minorEastAsia"/>
          <w:color w:val="000000" w:themeColor="text1"/>
          <w:sz w:val="24"/>
          <w:szCs w:val="24"/>
          <w14:textFill>
            <w14:solidFill>
              <w14:schemeClr w14:val="tx1"/>
            </w14:solidFill>
          </w14:textFill>
        </w:rPr>
        <w:t>甲方违约）。</w:t>
      </w:r>
    </w:p>
    <w:p>
      <w:pPr>
        <w:tabs>
          <w:tab w:val="left" w:pos="284"/>
        </w:tabs>
        <w:spacing w:line="360" w:lineRule="auto"/>
        <w:ind w:left="142"/>
        <w:contextualSpacing/>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4. 对于乙方举报甲方人员违反阳光合作</w:t>
      </w:r>
      <w:r>
        <w:rPr>
          <w:rFonts w:hint="eastAsia" w:asciiTheme="minorEastAsia" w:hAnsiTheme="minorEastAsia" w:eastAsiaTheme="minorEastAsia"/>
          <w:color w:val="000000" w:themeColor="text1"/>
          <w:sz w:val="24"/>
          <w:szCs w:val="24"/>
          <w14:textFill>
            <w14:solidFill>
              <w14:schemeClr w14:val="tx1"/>
            </w14:solidFill>
          </w14:textFill>
        </w:rPr>
        <w:t>禁止项</w:t>
      </w:r>
      <w:r>
        <w:rPr>
          <w:rFonts w:asciiTheme="minorEastAsia" w:hAnsiTheme="minorEastAsia" w:eastAsiaTheme="minorEastAsia"/>
          <w:color w:val="000000" w:themeColor="text1"/>
          <w:sz w:val="24"/>
          <w:szCs w:val="24"/>
          <w14:textFill>
            <w14:solidFill>
              <w14:schemeClr w14:val="tx1"/>
            </w14:solidFill>
          </w14:textFill>
        </w:rPr>
        <w:t>的情况，甲方</w:t>
      </w:r>
      <w:r>
        <w:rPr>
          <w:rFonts w:hint="eastAsia" w:asciiTheme="minorEastAsia" w:hAnsiTheme="minorEastAsia" w:eastAsiaTheme="minorEastAsia"/>
          <w:color w:val="000000" w:themeColor="text1"/>
          <w:sz w:val="24"/>
          <w:szCs w:val="24"/>
          <w14:textFill>
            <w14:solidFill>
              <w14:schemeClr w14:val="tx1"/>
            </w14:solidFill>
          </w14:textFill>
        </w:rPr>
        <w:t>有权调查核实，并将结果尽快反馈乙方，并可依据甲方或甲方所在万科集团</w:t>
      </w:r>
      <w:r>
        <w:rPr>
          <w:rFonts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sz w:val="24"/>
          <w:szCs w:val="24"/>
        </w:rPr>
        <w:t>万科物业</w:t>
      </w:r>
      <w:r>
        <w:rPr>
          <w:rFonts w:hint="eastAsia" w:asciiTheme="minorEastAsia" w:hAnsiTheme="minorEastAsia" w:eastAsiaTheme="minorEastAsia"/>
          <w:color w:val="000000" w:themeColor="text1"/>
          <w:sz w:val="24"/>
          <w:szCs w:val="24"/>
          <w14:textFill>
            <w14:solidFill>
              <w14:schemeClr w14:val="tx1"/>
            </w14:solidFill>
          </w14:textFill>
        </w:rPr>
        <w:t>举报奖励政策给予乙方适当奖励。</w:t>
      </w:r>
    </w:p>
    <w:p>
      <w:pPr>
        <w:numPr>
          <w:ilvl w:val="0"/>
          <w:numId w:val="1"/>
        </w:numPr>
        <w:spacing w:line="360" w:lineRule="auto"/>
        <w:contextualSpacing/>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乙方权利义务</w:t>
      </w:r>
    </w:p>
    <w:p>
      <w:pPr>
        <w:numPr>
          <w:ilvl w:val="0"/>
          <w:numId w:val="2"/>
        </w:numPr>
        <w:spacing w:line="360" w:lineRule="auto"/>
        <w:ind w:hanging="278"/>
        <w:contextualSpacing/>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z w:val="24"/>
          <w:szCs w:val="24"/>
          <w14:textFill>
            <w14:solidFill>
              <w14:schemeClr w14:val="tx1"/>
            </w14:solidFill>
          </w14:textFill>
        </w:rPr>
        <w:t>乙方应保证乙方人员了解本协议</w:t>
      </w:r>
      <w:r>
        <w:rPr>
          <w:rFonts w:hint="eastAsia" w:asciiTheme="minorEastAsia" w:hAnsiTheme="minorEastAsia" w:eastAsiaTheme="minorEastAsia"/>
          <w:b/>
          <w:color w:val="000000" w:themeColor="text1"/>
          <w:sz w:val="24"/>
          <w:szCs w:val="24"/>
          <w14:textFill>
            <w14:solidFill>
              <w14:schemeClr w14:val="tx1"/>
            </w14:solidFill>
          </w14:textFill>
        </w:rPr>
        <w:t>中阳光合作禁止项</w:t>
      </w:r>
      <w:r>
        <w:rPr>
          <w:rFonts w:asciiTheme="minorEastAsia" w:hAnsiTheme="minorEastAsia" w:eastAsiaTheme="minorEastAsia"/>
          <w:b/>
          <w:color w:val="000000" w:themeColor="text1"/>
          <w:sz w:val="24"/>
          <w:szCs w:val="24"/>
          <w14:textFill>
            <w14:solidFill>
              <w14:schemeClr w14:val="tx1"/>
            </w14:solidFill>
          </w14:textFill>
        </w:rPr>
        <w:t>的</w:t>
      </w:r>
      <w:r>
        <w:rPr>
          <w:rFonts w:hint="eastAsia" w:asciiTheme="minorEastAsia" w:hAnsiTheme="minorEastAsia" w:eastAsiaTheme="minorEastAsia"/>
          <w:b/>
          <w:color w:val="000000" w:themeColor="text1"/>
          <w:sz w:val="24"/>
          <w:szCs w:val="24"/>
          <w14:textFill>
            <w14:solidFill>
              <w14:schemeClr w14:val="tx1"/>
            </w14:solidFill>
          </w14:textFill>
        </w:rPr>
        <w:t>相关</w:t>
      </w:r>
      <w:r>
        <w:rPr>
          <w:rFonts w:asciiTheme="minorEastAsia" w:hAnsiTheme="minorEastAsia" w:eastAsiaTheme="minorEastAsia"/>
          <w:b/>
          <w:color w:val="000000" w:themeColor="text1"/>
          <w:sz w:val="24"/>
          <w:szCs w:val="24"/>
          <w14:textFill>
            <w14:solidFill>
              <w14:schemeClr w14:val="tx1"/>
            </w14:solidFill>
          </w14:textFill>
        </w:rPr>
        <w:t>规定，</w:t>
      </w:r>
      <w:r>
        <w:rPr>
          <w:rFonts w:hint="eastAsia" w:asciiTheme="minorEastAsia" w:hAnsiTheme="minorEastAsia" w:eastAsiaTheme="minorEastAsia"/>
          <w:b/>
          <w:color w:val="000000" w:themeColor="text1"/>
          <w:sz w:val="24"/>
          <w:szCs w:val="24"/>
          <w14:textFill>
            <w14:solidFill>
              <w14:schemeClr w14:val="tx1"/>
            </w14:solidFill>
          </w14:textFill>
        </w:rPr>
        <w:t>接受甲方的廉正风险提示和宣讲，传达到涉及合同的乙方人员，</w:t>
      </w:r>
      <w:r>
        <w:rPr>
          <w:rFonts w:asciiTheme="minorEastAsia" w:hAnsiTheme="minorEastAsia" w:eastAsiaTheme="minorEastAsia"/>
          <w:b/>
          <w:color w:val="000000" w:themeColor="text1"/>
          <w:sz w:val="24"/>
          <w:szCs w:val="24"/>
          <w14:textFill>
            <w14:solidFill>
              <w14:schemeClr w14:val="tx1"/>
            </w14:solidFill>
          </w14:textFill>
        </w:rPr>
        <w:t>并遵照执行</w:t>
      </w:r>
      <w:r>
        <w:rPr>
          <w:rFonts w:hint="eastAsia" w:asciiTheme="minorEastAsia" w:hAnsiTheme="minorEastAsia" w:eastAsiaTheme="minorEastAsia"/>
          <w:color w:val="000000" w:themeColor="text1"/>
          <w:sz w:val="24"/>
          <w:szCs w:val="24"/>
          <w14:textFill>
            <w14:solidFill>
              <w14:schemeClr w14:val="tx1"/>
            </w14:solidFill>
          </w14:textFill>
        </w:rPr>
        <w:t>。</w:t>
      </w:r>
    </w:p>
    <w:p>
      <w:pPr>
        <w:pStyle w:val="14"/>
        <w:numPr>
          <w:ilvl w:val="0"/>
          <w:numId w:val="2"/>
        </w:numPr>
        <w:spacing w:line="360" w:lineRule="auto"/>
        <w:ind w:hanging="278"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乙方承诺并保证，与甲方开展合作时不存在（且在与甲方开展合作的过程中不得有）甲方及其关联公司在职员工直接或变相持股或控制乙方公司或其关联单位，</w:t>
      </w:r>
      <w:r>
        <w:rPr>
          <w:rFonts w:asciiTheme="minorEastAsia" w:hAnsiTheme="minorEastAsia" w:eastAsiaTheme="minorEastAsia"/>
          <w:sz w:val="24"/>
          <w:szCs w:val="24"/>
        </w:rPr>
        <w:t>但</w:t>
      </w:r>
      <w:r>
        <w:rPr>
          <w:rFonts w:hint="eastAsia" w:asciiTheme="minorEastAsia" w:hAnsiTheme="minorEastAsia" w:eastAsiaTheme="minorEastAsia"/>
          <w:sz w:val="24"/>
          <w:szCs w:val="24"/>
        </w:rPr>
        <w:t>公开市场股票投资不在前述</w:t>
      </w:r>
      <w:r>
        <w:rPr>
          <w:rFonts w:asciiTheme="minorEastAsia" w:hAnsiTheme="minorEastAsia" w:eastAsiaTheme="minorEastAsia"/>
          <w:sz w:val="24"/>
          <w:szCs w:val="24"/>
        </w:rPr>
        <w:t>限制</w:t>
      </w:r>
      <w:r>
        <w:rPr>
          <w:rFonts w:hint="eastAsia" w:asciiTheme="minorEastAsia" w:hAnsiTheme="minorEastAsia" w:eastAsiaTheme="minorEastAsia"/>
          <w:sz w:val="24"/>
          <w:szCs w:val="24"/>
        </w:rPr>
        <w:t>。</w:t>
      </w:r>
    </w:p>
    <w:p>
      <w:pPr>
        <w:numPr>
          <w:ilvl w:val="0"/>
          <w:numId w:val="2"/>
        </w:numPr>
        <w:spacing w:line="360" w:lineRule="auto"/>
        <w:ind w:hanging="278"/>
        <w:contextualSpacing/>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乙方</w:t>
      </w:r>
      <w:r>
        <w:rPr>
          <w:rFonts w:hint="eastAsia" w:asciiTheme="minorEastAsia" w:hAnsiTheme="minorEastAsia" w:eastAsiaTheme="minorEastAsia"/>
          <w:color w:val="000000" w:themeColor="text1"/>
          <w:sz w:val="24"/>
          <w:szCs w:val="24"/>
          <w14:textFill>
            <w14:solidFill>
              <w14:schemeClr w14:val="tx1"/>
            </w14:solidFill>
          </w14:textFill>
        </w:rPr>
        <w:t>应确保乙方人员严格遵守以下阳光合作约定（包括不限于），否则视为违约：</w:t>
      </w:r>
    </w:p>
    <w:p>
      <w:pPr>
        <w:spacing w:line="360" w:lineRule="auto"/>
        <w:ind w:left="335" w:leftChars="69" w:hanging="190" w:hangingChars="79"/>
        <w:contextualSpacing/>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（1）严禁商业贿赂：</w:t>
      </w:r>
      <w:r>
        <w:rPr>
          <w:rFonts w:hint="eastAsia" w:asciiTheme="minorEastAsia" w:hAnsiTheme="minorEastAsia" w:eastAsiaTheme="minorEastAsia"/>
          <w:color w:val="000000" w:themeColor="text1"/>
          <w:sz w:val="24"/>
          <w:szCs w:val="24"/>
          <w14:textFill>
            <w14:solidFill>
              <w14:schemeClr w14:val="tx1"/>
            </w14:solidFill>
          </w14:textFill>
        </w:rPr>
        <w:t>乙方及乙方人员</w:t>
      </w:r>
      <w:r>
        <w:rPr>
          <w:rFonts w:hint="eastAsia" w:asciiTheme="minorEastAsia" w:hAnsiTheme="minorEastAsia" w:eastAsiaTheme="minorEastAsia"/>
          <w:b/>
          <w:color w:val="000000" w:themeColor="text1"/>
          <w:sz w:val="24"/>
          <w:szCs w:val="24"/>
          <w14:textFill>
            <w14:solidFill>
              <w14:schemeClr w14:val="tx1"/>
            </w14:solidFill>
          </w14:textFill>
        </w:rPr>
        <w:t>不得向甲方人员提供任何</w:t>
      </w:r>
      <w:r>
        <w:rPr>
          <w:rFonts w:asciiTheme="minorEastAsia" w:hAnsiTheme="minorEastAsia" w:eastAsiaTheme="minorEastAsia"/>
          <w:b/>
          <w:color w:val="000000" w:themeColor="text1"/>
          <w:sz w:val="24"/>
          <w:szCs w:val="24"/>
          <w14:textFill>
            <w14:solidFill>
              <w14:schemeClr w14:val="tx1"/>
            </w14:solidFill>
          </w14:textFill>
        </w:rPr>
        <w:t>形式的</w:t>
      </w:r>
      <w:r>
        <w:rPr>
          <w:rFonts w:hint="eastAsia" w:asciiTheme="minorEastAsia" w:hAnsiTheme="minorEastAsia" w:eastAsiaTheme="minorEastAsia"/>
          <w:b/>
          <w:color w:val="000000" w:themeColor="text1"/>
          <w:sz w:val="24"/>
          <w:szCs w:val="24"/>
          <w14:textFill>
            <w14:solidFill>
              <w14:schemeClr w14:val="tx1"/>
            </w14:solidFill>
          </w14:textFill>
        </w:rPr>
        <w:t>回扣、</w:t>
      </w:r>
      <w:r>
        <w:rPr>
          <w:rFonts w:asciiTheme="minorEastAsia" w:hAnsiTheme="minorEastAsia" w:eastAsiaTheme="minorEastAsia"/>
          <w:b/>
          <w:color w:val="000000" w:themeColor="text1"/>
          <w:sz w:val="24"/>
          <w:szCs w:val="24"/>
          <w14:textFill>
            <w14:solidFill>
              <w14:schemeClr w14:val="tx1"/>
            </w14:solidFill>
          </w14:textFill>
        </w:rPr>
        <w:t>实物、现金</w:t>
      </w:r>
      <w:r>
        <w:rPr>
          <w:rFonts w:hint="eastAsia" w:asciiTheme="minorEastAsia" w:hAnsiTheme="minorEastAsia" w:eastAsiaTheme="minorEastAsia"/>
          <w:b/>
          <w:color w:val="000000" w:themeColor="text1"/>
          <w:sz w:val="24"/>
          <w:szCs w:val="24"/>
          <w14:textFill>
            <w14:solidFill>
              <w14:schemeClr w14:val="tx1"/>
            </w14:solidFill>
          </w14:textFill>
        </w:rPr>
        <w:t>、有价证券、礼券等有价物品，或旅游、高档宴请或其他可能影响职务行为公正履行的活动</w:t>
      </w:r>
      <w:r>
        <w:rPr>
          <w:rFonts w:hint="eastAsia" w:asciiTheme="minorEastAsia" w:hAnsiTheme="minorEastAsia" w:eastAsiaTheme="minorEastAsia"/>
          <w:color w:val="000000" w:themeColor="text1"/>
          <w:sz w:val="24"/>
          <w:szCs w:val="24"/>
          <w14:textFill>
            <w14:solidFill>
              <w14:schemeClr w14:val="tx1"/>
            </w14:solidFill>
          </w14:textFill>
        </w:rPr>
        <w:t>；</w:t>
      </w:r>
    </w:p>
    <w:p>
      <w:pPr>
        <w:spacing w:line="360" w:lineRule="auto"/>
        <w:ind w:left="335" w:leftChars="69" w:hanging="190" w:hangingChars="79"/>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（2）严禁行贿及其他违法：</w:t>
      </w:r>
      <w:r>
        <w:rPr>
          <w:rFonts w:hint="eastAsia" w:asciiTheme="minorEastAsia" w:hAnsiTheme="minorEastAsia" w:eastAsiaTheme="minorEastAsia"/>
          <w:color w:val="000000" w:themeColor="text1"/>
          <w:sz w:val="24"/>
          <w:szCs w:val="24"/>
          <w14:textFill>
            <w14:solidFill>
              <w14:schemeClr w14:val="tx1"/>
            </w14:solidFill>
          </w14:textFill>
        </w:rPr>
        <w:t>乙方及乙方人员不得接受甲方人员要求配合或协助进行包含行贿谋求不正当商业利益在内违法行为的请求；</w:t>
      </w:r>
    </w:p>
    <w:p>
      <w:pPr>
        <w:spacing w:line="360" w:lineRule="auto"/>
        <w:ind w:left="335" w:leftChars="69" w:hanging="190" w:hangingChars="79"/>
        <w:contextualSpacing/>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（3）利益冲突及其他披露：</w:t>
      </w:r>
      <w:r>
        <w:rPr>
          <w:rFonts w:hint="eastAsia" w:asciiTheme="minorEastAsia" w:hAnsiTheme="minorEastAsia" w:eastAsiaTheme="minorEastAsia"/>
          <w:color w:val="000000" w:themeColor="text1"/>
          <w:sz w:val="24"/>
          <w:szCs w:val="24"/>
          <w14:textFill>
            <w14:solidFill>
              <w14:schemeClr w14:val="tx1"/>
            </w14:solidFill>
          </w14:textFill>
        </w:rPr>
        <w:t>乙方在与甲方开展合作前，如出现以下任何之一情形，须在投标前主动以书面方式向甲方完整、如实披露相关信息；若在与甲方合作过程中，出现以下任何之一情形的，须在相关情形发生后10天内，以书面方式向甲方完整、如实披露相关信息：</w:t>
      </w:r>
    </w:p>
    <w:p>
      <w:pPr>
        <w:pStyle w:val="14"/>
        <w:numPr>
          <w:ilvl w:val="0"/>
          <w:numId w:val="3"/>
        </w:numPr>
        <w:spacing w:line="360" w:lineRule="auto"/>
        <w:ind w:firstLineChars="0"/>
        <w:contextualSpacing/>
        <w:rPr>
          <w:rFonts w:asciiTheme="minorEastAsia" w:hAnsiTheme="minorEastAsia" w:eastAsiaTheme="minorEastAsia"/>
          <w:sz w:val="24"/>
          <w:szCs w:val="24"/>
        </w:rPr>
      </w:pPr>
      <w:r>
        <w:rPr>
          <w:rFonts w:hint="eastAsia" w:asciiTheme="minorEastAsia" w:hAnsiTheme="minorEastAsia" w:eastAsiaTheme="minorEastAsia"/>
          <w:kern w:val="0"/>
          <w:sz w:val="24"/>
          <w:szCs w:val="24"/>
        </w:rPr>
        <w:t>甲方及其关联公司在职员工或其近亲属于乙方公司</w:t>
      </w:r>
      <w:r>
        <w:rPr>
          <w:rFonts w:hint="eastAsia" w:asciiTheme="minorEastAsia" w:hAnsiTheme="minorEastAsia" w:eastAsiaTheme="minorEastAsia"/>
          <w:sz w:val="24"/>
          <w:szCs w:val="24"/>
        </w:rPr>
        <w:t>或其关联单位处</w:t>
      </w:r>
      <w:r>
        <w:rPr>
          <w:rFonts w:hint="eastAsia" w:asciiTheme="minorEastAsia" w:hAnsiTheme="minorEastAsia" w:eastAsiaTheme="minorEastAsia"/>
          <w:kern w:val="0"/>
          <w:sz w:val="24"/>
          <w:szCs w:val="24"/>
        </w:rPr>
        <w:t>直接或变相持股（注：公开市场股票投资不属于乙方协议披露义务）、控制、任职</w:t>
      </w:r>
      <w:r>
        <w:rPr>
          <w:rFonts w:asciiTheme="minorEastAsia" w:hAnsiTheme="minorEastAsia" w:eastAsiaTheme="minorEastAsia"/>
          <w:sz w:val="24"/>
          <w:szCs w:val="24"/>
        </w:rPr>
        <w:t>或获取其它利益</w:t>
      </w:r>
      <w:r>
        <w:rPr>
          <w:rFonts w:hint="eastAsia" w:asciiTheme="minorEastAsia" w:hAnsiTheme="minorEastAsia" w:eastAsiaTheme="minorEastAsia"/>
          <w:kern w:val="0"/>
          <w:sz w:val="24"/>
          <w:szCs w:val="24"/>
        </w:rPr>
        <w:t>的情况；</w:t>
      </w:r>
    </w:p>
    <w:p>
      <w:pPr>
        <w:pStyle w:val="14"/>
        <w:numPr>
          <w:ilvl w:val="0"/>
          <w:numId w:val="3"/>
        </w:numPr>
        <w:spacing w:line="360" w:lineRule="auto"/>
        <w:ind w:firstLineChars="0"/>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kern w:val="0"/>
          <w:sz w:val="24"/>
          <w:szCs w:val="24"/>
        </w:rPr>
        <w:t>甲方及其关联公司离职员工或其近亲属直接</w:t>
      </w:r>
      <w:r>
        <w:rPr>
          <w:rFonts w:hint="eastAsia" w:asciiTheme="minorEastAsia" w:hAnsiTheme="minorEastAsia" w:eastAsiaTheme="minorEastAsia"/>
          <w:color w:val="000000" w:themeColor="text1"/>
          <w:kern w:val="0"/>
          <w:sz w:val="24"/>
          <w:szCs w:val="24"/>
          <w14:textFill>
            <w14:solidFill>
              <w14:schemeClr w14:val="tx1"/>
            </w14:solidFill>
          </w14:textFill>
        </w:rPr>
        <w:t>或变相持股乙方公司</w:t>
      </w:r>
      <w:r>
        <w:rPr>
          <w:rFonts w:hint="eastAsia" w:asciiTheme="minorEastAsia" w:hAnsiTheme="minorEastAsia" w:eastAsiaTheme="minorEastAsia"/>
          <w:color w:val="000000" w:themeColor="text1"/>
          <w:sz w:val="24"/>
          <w:szCs w:val="24"/>
          <w14:textFill>
            <w14:solidFill>
              <w14:schemeClr w14:val="tx1"/>
            </w14:solidFill>
          </w14:textFill>
        </w:rPr>
        <w:t>或其关联单位</w:t>
      </w:r>
      <w:r>
        <w:rPr>
          <w:rFonts w:hint="eastAsia" w:asciiTheme="minorEastAsia" w:hAnsiTheme="minorEastAsia" w:eastAsiaTheme="minorEastAsia"/>
          <w:color w:val="000000" w:themeColor="text1"/>
          <w:kern w:val="0"/>
          <w:sz w:val="24"/>
          <w:szCs w:val="24"/>
          <w14:textFill>
            <w14:solidFill>
              <w14:schemeClr w14:val="tx1"/>
            </w14:solidFill>
          </w14:textFill>
        </w:rPr>
        <w:t>（注：公开市场股票投资不属于乙方协议披露义务）或控制乙方公司</w:t>
      </w:r>
      <w:r>
        <w:rPr>
          <w:rFonts w:hint="eastAsia" w:asciiTheme="minorEastAsia" w:hAnsiTheme="minorEastAsia" w:eastAsiaTheme="minorEastAsia"/>
          <w:color w:val="000000" w:themeColor="text1"/>
          <w:sz w:val="24"/>
          <w:szCs w:val="24"/>
          <w14:textFill>
            <w14:solidFill>
              <w14:schemeClr w14:val="tx1"/>
            </w14:solidFill>
          </w14:textFill>
        </w:rPr>
        <w:t>或其关联单位</w:t>
      </w:r>
      <w:r>
        <w:rPr>
          <w:rFonts w:hint="eastAsia" w:asciiTheme="minorEastAsia" w:hAnsiTheme="minorEastAsia" w:eastAsiaTheme="minorEastAsia"/>
          <w:color w:val="000000" w:themeColor="text1"/>
          <w:kern w:val="0"/>
          <w:sz w:val="24"/>
          <w:szCs w:val="24"/>
          <w14:textFill>
            <w14:solidFill>
              <w14:schemeClr w14:val="tx1"/>
            </w14:solidFill>
          </w14:textFill>
        </w:rPr>
        <w:t>，或受雇于乙方公司</w:t>
      </w:r>
      <w:r>
        <w:rPr>
          <w:rFonts w:hint="eastAsia" w:asciiTheme="minorEastAsia" w:hAnsiTheme="minorEastAsia" w:eastAsiaTheme="minorEastAsia"/>
          <w:color w:val="000000" w:themeColor="text1"/>
          <w:sz w:val="24"/>
          <w:szCs w:val="24"/>
          <w14:textFill>
            <w14:solidFill>
              <w14:schemeClr w14:val="tx1"/>
            </w14:solidFill>
          </w14:textFill>
        </w:rPr>
        <w:t>或其关联单位</w:t>
      </w:r>
      <w:r>
        <w:rPr>
          <w:rFonts w:hint="eastAsia" w:asciiTheme="minorEastAsia" w:hAnsiTheme="minorEastAsia" w:eastAsiaTheme="minorEastAsia"/>
          <w:color w:val="000000" w:themeColor="text1"/>
          <w:kern w:val="0"/>
          <w:sz w:val="24"/>
          <w:szCs w:val="24"/>
          <w14:textFill>
            <w14:solidFill>
              <w14:schemeClr w14:val="tx1"/>
            </w14:solidFill>
          </w14:textFill>
        </w:rPr>
        <w:t>并参与甲方及其关联公司业务的情况（甲方书面同意的除外）；</w:t>
      </w:r>
      <w:r>
        <w:rPr>
          <w:rFonts w:hint="eastAsia" w:asciiTheme="minorEastAsia" w:hAnsiTheme="minorEastAsia" w:eastAsiaTheme="minorEastAsia"/>
          <w:color w:val="000000" w:themeColor="text1"/>
          <w:sz w:val="24"/>
          <w:szCs w:val="24"/>
          <w14:textFill>
            <w14:solidFill>
              <w14:schemeClr w14:val="tx1"/>
            </w14:solidFill>
          </w14:textFill>
        </w:rPr>
        <w:t xml:space="preserve"> </w:t>
      </w:r>
    </w:p>
    <w:p>
      <w:pPr>
        <w:pStyle w:val="14"/>
        <w:numPr>
          <w:ilvl w:val="0"/>
          <w:numId w:val="3"/>
        </w:numPr>
        <w:spacing w:line="360" w:lineRule="auto"/>
        <w:ind w:firstLineChars="0"/>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乙方法定代表人、股东、实际业务控制人、对接人两年内以其他公司名义参与甲方及其关联公司业务合作的情况。</w:t>
      </w:r>
    </w:p>
    <w:p>
      <w:pPr>
        <w:spacing w:line="360" w:lineRule="auto"/>
        <w:ind w:left="335" w:leftChars="69" w:hanging="190" w:hangingChars="79"/>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（4）严禁串标围标：</w:t>
      </w:r>
      <w:r>
        <w:rPr>
          <w:rFonts w:hint="eastAsia" w:asciiTheme="minorEastAsia" w:hAnsiTheme="minorEastAsia" w:eastAsiaTheme="minorEastAsia"/>
          <w:color w:val="000000" w:themeColor="text1"/>
          <w:sz w:val="24"/>
          <w:szCs w:val="24"/>
          <w14:textFill>
            <w14:solidFill>
              <w14:schemeClr w14:val="tx1"/>
            </w14:solidFill>
          </w14:textFill>
        </w:rPr>
        <w:t>在甲方业务范围内，乙方及乙方人员应拒绝甲方人员授意配合进行串标或围标违规违法操作的请求；乙方及乙方人员不得串谋或</w:t>
      </w:r>
      <w:r>
        <w:rPr>
          <w:rFonts w:asciiTheme="minorEastAsia" w:hAnsiTheme="minorEastAsia" w:eastAsiaTheme="minorEastAsia"/>
          <w:color w:val="000000" w:themeColor="text1"/>
          <w:sz w:val="24"/>
          <w:szCs w:val="24"/>
          <w14:textFill>
            <w14:solidFill>
              <w14:schemeClr w14:val="tx1"/>
            </w14:solidFill>
          </w14:textFill>
        </w:rPr>
        <w:t>配合</w:t>
      </w:r>
      <w:r>
        <w:rPr>
          <w:rFonts w:hint="eastAsia" w:asciiTheme="minorEastAsia" w:hAnsiTheme="minorEastAsia" w:eastAsiaTheme="minorEastAsia"/>
          <w:color w:val="000000" w:themeColor="text1"/>
          <w:sz w:val="24"/>
          <w:szCs w:val="24"/>
          <w14:textFill>
            <w14:solidFill>
              <w14:schemeClr w14:val="tx1"/>
            </w14:solidFill>
          </w14:textFill>
        </w:rPr>
        <w:t>其他单位，在甲方及其关联公司业务中进行串标或围标违规违法操作。</w:t>
      </w:r>
    </w:p>
    <w:p>
      <w:pPr>
        <w:spacing w:line="360" w:lineRule="auto"/>
        <w:ind w:left="335" w:leftChars="69" w:hanging="190" w:hangingChars="79"/>
        <w:contextualSpacing/>
        <w:rPr>
          <w:rFonts w:asciiTheme="minorEastAsia" w:hAnsiTheme="minorEastAsia" w:eastAsiaTheme="minorEastAsia"/>
          <w:sz w:val="24"/>
          <w:szCs w:val="24"/>
        </w:rPr>
      </w:pPr>
      <w:r>
        <w:rPr>
          <w:rFonts w:hint="eastAsia" w:asciiTheme="minorEastAsia" w:hAnsiTheme="minorEastAsia" w:eastAsiaTheme="minorEastAsia"/>
          <w:b/>
          <w:sz w:val="24"/>
          <w:szCs w:val="24"/>
        </w:rPr>
        <w:t>（5）严禁资金往来：</w:t>
      </w:r>
      <w:r>
        <w:rPr>
          <w:rFonts w:hint="eastAsia" w:asciiTheme="minorEastAsia" w:hAnsiTheme="minorEastAsia" w:eastAsiaTheme="minorEastAsia"/>
          <w:sz w:val="24"/>
          <w:szCs w:val="24"/>
        </w:rPr>
        <w:t>乙方（含关联单位）或乙方人员</w:t>
      </w:r>
      <w:r>
        <w:rPr>
          <w:rFonts w:hint="eastAsia" w:asciiTheme="minorEastAsia" w:hAnsiTheme="minorEastAsia" w:eastAsiaTheme="minorEastAsia"/>
          <w:b/>
          <w:sz w:val="24"/>
          <w:szCs w:val="24"/>
        </w:rPr>
        <w:t>不得在任何情况下向甲方人员或其近亲属提供资金借贷、协助过账、现金兑换、代付费用、代购物品、代发工资等任何形式的资金往来。</w:t>
      </w:r>
    </w:p>
    <w:p>
      <w:pPr>
        <w:spacing w:line="360" w:lineRule="auto"/>
        <w:ind w:left="335" w:leftChars="69" w:hanging="190" w:hangingChars="79"/>
        <w:contextualSpacing/>
        <w:rPr>
          <w:rFonts w:asciiTheme="minorEastAsia" w:hAnsiTheme="minorEastAsia" w:eastAsiaTheme="minorEastAsia"/>
          <w:sz w:val="24"/>
          <w:szCs w:val="24"/>
        </w:rPr>
      </w:pPr>
      <w:r>
        <w:rPr>
          <w:rFonts w:hint="eastAsia" w:asciiTheme="minorEastAsia" w:hAnsiTheme="minorEastAsia" w:eastAsiaTheme="minorEastAsia"/>
          <w:b/>
          <w:sz w:val="24"/>
          <w:szCs w:val="24"/>
        </w:rPr>
        <w:t>（6）严禁弄虚作假</w:t>
      </w:r>
      <w:r>
        <w:rPr>
          <w:rFonts w:asciiTheme="minorEastAsia" w:hAnsiTheme="minorEastAsia" w:eastAsiaTheme="minorEastAsia"/>
          <w:b/>
          <w:sz w:val="24"/>
          <w:szCs w:val="24"/>
        </w:rPr>
        <w:t>：</w:t>
      </w:r>
      <w:r>
        <w:rPr>
          <w:rFonts w:hint="eastAsia" w:asciiTheme="minorEastAsia" w:hAnsiTheme="minorEastAsia" w:eastAsiaTheme="minorEastAsia"/>
          <w:bCs/>
          <w:sz w:val="24"/>
          <w:szCs w:val="24"/>
        </w:rPr>
        <w:t>乙方及</w:t>
      </w:r>
      <w:r>
        <w:rPr>
          <w:rFonts w:asciiTheme="minorEastAsia" w:hAnsiTheme="minorEastAsia" w:eastAsiaTheme="minorEastAsia"/>
          <w:bCs/>
          <w:sz w:val="24"/>
          <w:szCs w:val="24"/>
        </w:rPr>
        <w:t>乙方</w:t>
      </w:r>
      <w:r>
        <w:rPr>
          <w:rFonts w:hint="eastAsia" w:asciiTheme="minorEastAsia" w:hAnsiTheme="minorEastAsia" w:eastAsiaTheme="minorEastAsia"/>
          <w:bCs/>
          <w:sz w:val="24"/>
          <w:szCs w:val="24"/>
        </w:rPr>
        <w:t>人员</w:t>
      </w:r>
      <w:r>
        <w:rPr>
          <w:rFonts w:hint="eastAsia" w:asciiTheme="minorEastAsia" w:hAnsiTheme="minorEastAsia" w:eastAsiaTheme="minorEastAsia"/>
          <w:b/>
          <w:sz w:val="24"/>
          <w:szCs w:val="24"/>
        </w:rPr>
        <w:t>存在弄虚作假、隐瞒欺诈的行为，包括但不限于货不对板、工程造假、服务数据造假、考核工时造假、业绩数据造假、满意度造假、私单交易、资质造假等弄虚作假、隐瞒欺诈的行为</w:t>
      </w:r>
      <w:r>
        <w:rPr>
          <w:rFonts w:hint="eastAsia" w:asciiTheme="minorEastAsia" w:hAnsiTheme="minorEastAsia" w:eastAsiaTheme="minorEastAsia"/>
          <w:sz w:val="24"/>
          <w:szCs w:val="24"/>
        </w:rPr>
        <w:t>。</w:t>
      </w:r>
    </w:p>
    <w:p>
      <w:pPr>
        <w:numPr>
          <w:ilvl w:val="0"/>
          <w:numId w:val="2"/>
        </w:numPr>
        <w:spacing w:line="360" w:lineRule="auto"/>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乙方在与甲方开展合作前，有责任向甲方披露乙方实际控制人信息，包括姓名、身份证号码、电话、通讯地址。</w:t>
      </w:r>
    </w:p>
    <w:p>
      <w:pPr>
        <w:numPr>
          <w:ilvl w:val="0"/>
          <w:numId w:val="2"/>
        </w:numPr>
        <w:spacing w:line="360" w:lineRule="auto"/>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乙方有责任接受甲方对乙方在合作期间阳光合作协议执行情况的监督，并对甲方相关调查工作主动配合。</w:t>
      </w:r>
    </w:p>
    <w:p>
      <w:pPr>
        <w:numPr>
          <w:ilvl w:val="0"/>
          <w:numId w:val="2"/>
        </w:numPr>
        <w:spacing w:line="360" w:lineRule="auto"/>
        <w:contextualSpacing/>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sz w:val="24"/>
          <w:szCs w:val="24"/>
        </w:rPr>
        <w:t>乙方有</w:t>
      </w:r>
      <w:r>
        <w:rPr>
          <w:rFonts w:hint="eastAsia" w:asciiTheme="minorEastAsia" w:hAnsiTheme="minorEastAsia" w:eastAsiaTheme="minorEastAsia"/>
          <w:sz w:val="24"/>
          <w:szCs w:val="24"/>
        </w:rPr>
        <w:t>责任</w:t>
      </w:r>
      <w:r>
        <w:rPr>
          <w:rFonts w:asciiTheme="minorEastAsia" w:hAnsiTheme="minorEastAsia" w:eastAsiaTheme="minorEastAsia"/>
          <w:sz w:val="24"/>
          <w:szCs w:val="24"/>
        </w:rPr>
        <w:t>就甲方人员</w:t>
      </w:r>
      <w:r>
        <w:rPr>
          <w:rFonts w:hint="eastAsia" w:asciiTheme="minorEastAsia" w:hAnsiTheme="minorEastAsia" w:eastAsiaTheme="minorEastAsia"/>
          <w:sz w:val="24"/>
          <w:szCs w:val="24"/>
        </w:rPr>
        <w:t>或甲方业务合作单位人员营私舞弊、弄虚作假等违反职业道德准则的行为</w:t>
      </w:r>
      <w:r>
        <w:rPr>
          <w:rFonts w:asciiTheme="minorEastAsia" w:hAnsiTheme="minorEastAsia" w:eastAsiaTheme="minorEastAsia"/>
          <w:sz w:val="24"/>
          <w:szCs w:val="24"/>
        </w:rPr>
        <w:t>及时向甲方</w:t>
      </w:r>
      <w:r>
        <w:rPr>
          <w:rFonts w:hint="eastAsia" w:asciiTheme="minorEastAsia" w:hAnsiTheme="minorEastAsia" w:eastAsiaTheme="minorEastAsia"/>
          <w:sz w:val="24"/>
          <w:szCs w:val="24"/>
        </w:rPr>
        <w:t>举报，乙方在主动举报的情形下，其参与的上述行为将予以免责。</w:t>
      </w:r>
      <w:r>
        <w:rPr>
          <w:rFonts w:hint="eastAsia" w:asciiTheme="minorEastAsia" w:hAnsiTheme="minorEastAsia" w:eastAsiaTheme="minorEastAsia"/>
          <w:color w:val="000000" w:themeColor="text1"/>
          <w:sz w:val="24"/>
          <w:szCs w:val="24"/>
          <w14:textFill>
            <w14:solidFill>
              <w14:schemeClr w14:val="tx1"/>
            </w14:solidFill>
          </w14:textFill>
        </w:rPr>
        <w:t>甲方受理举报的常设部门及联系方式为：</w:t>
      </w:r>
    </w:p>
    <w:p>
      <w:pPr>
        <w:spacing w:line="360" w:lineRule="auto"/>
        <w:ind w:firstLine="1200" w:firstLineChars="500"/>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举报受理部门：万科物业发展股份有限公司知之学院稽核中心</w:t>
      </w:r>
    </w:p>
    <w:p>
      <w:pPr>
        <w:spacing w:line="360" w:lineRule="auto"/>
        <w:ind w:firstLine="1200" w:firstLineChars="500"/>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邮寄地址：广东省深圳市福田区梅林路63号万科大厦万科物业知之学院稽核中心</w:t>
      </w:r>
    </w:p>
    <w:p>
      <w:pPr>
        <w:spacing w:line="360" w:lineRule="auto"/>
        <w:ind w:firstLine="1200" w:firstLineChars="500"/>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万科物业举报邮箱：</w:t>
      </w:r>
      <w:r>
        <w:fldChar w:fldCharType="begin"/>
      </w:r>
      <w:r>
        <w:instrText xml:space="preserve"> HYPERLINK "mailto:22198798@vanke.com" </w:instrText>
      </w:r>
      <w:r>
        <w:fldChar w:fldCharType="separate"/>
      </w:r>
      <w:r>
        <w:rPr>
          <w:rFonts w:asciiTheme="minorEastAsia" w:hAnsiTheme="minorEastAsia" w:eastAsiaTheme="minorEastAsia"/>
          <w:sz w:val="24"/>
          <w:szCs w:val="24"/>
        </w:rPr>
        <w:t>22198798@vanke.com</w:t>
      </w:r>
      <w:r>
        <w:rPr>
          <w:rFonts w:asciiTheme="minorEastAsia" w:hAnsiTheme="minorEastAsia" w:eastAsiaTheme="minorEastAsia"/>
          <w:sz w:val="24"/>
          <w:szCs w:val="24"/>
        </w:rPr>
        <w:fldChar w:fldCharType="end"/>
      </w:r>
    </w:p>
    <w:p>
      <w:pPr>
        <w:spacing w:line="360" w:lineRule="auto"/>
        <w:ind w:firstLine="1200" w:firstLineChars="500"/>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万科物业举报电话：</w:t>
      </w:r>
      <w:r>
        <w:rPr>
          <w:rFonts w:asciiTheme="minorEastAsia" w:hAnsiTheme="minorEastAsia" w:eastAsiaTheme="minorEastAsia"/>
          <w:color w:val="000000" w:themeColor="text1"/>
          <w:sz w:val="24"/>
          <w:szCs w:val="24"/>
          <w14:textFill>
            <w14:solidFill>
              <w14:schemeClr w14:val="tx1"/>
            </w14:solidFill>
          </w14:textFill>
        </w:rPr>
        <w:t xml:space="preserve">0755-22198798,13249870298 </w:t>
      </w:r>
    </w:p>
    <w:p>
      <w:pPr>
        <w:spacing w:line="360" w:lineRule="auto"/>
        <w:ind w:firstLine="1200" w:firstLineChars="500"/>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万科阳光网：</w:t>
      </w:r>
      <w:r>
        <w:fldChar w:fldCharType="begin"/>
      </w:r>
      <w:r>
        <w:instrText xml:space="preserve"> HYPERLINK "http://5198.vanke.com" </w:instrText>
      </w:r>
      <w:r>
        <w:fldChar w:fldCharType="separate"/>
      </w:r>
      <w:r>
        <w:rPr>
          <w:rStyle w:val="11"/>
          <w:rFonts w:hint="eastAsia" w:asciiTheme="minorEastAsia" w:hAnsiTheme="minorEastAsia" w:eastAsiaTheme="minorEastAsia"/>
          <w:sz w:val="24"/>
          <w:szCs w:val="24"/>
        </w:rPr>
        <w:t>http://5198.vanke.com</w:t>
      </w:r>
      <w:r>
        <w:rPr>
          <w:rStyle w:val="11"/>
          <w:rFonts w:hint="eastAsia" w:asciiTheme="minorEastAsia" w:hAnsiTheme="minorEastAsia" w:eastAsiaTheme="minorEastAsia"/>
          <w:sz w:val="24"/>
          <w:szCs w:val="24"/>
        </w:rPr>
        <w:fldChar w:fldCharType="end"/>
      </w:r>
    </w:p>
    <w:p>
      <w:pPr>
        <w:spacing w:line="360" w:lineRule="auto"/>
        <w:ind w:left="630" w:leftChars="300" w:firstLine="1080" w:firstLineChars="450"/>
        <w:contextualSpacing/>
        <w:rPr>
          <w:rFonts w:asciiTheme="minorEastAsia" w:hAnsiTheme="minorEastAsia" w:eastAsiaTheme="minorEastAsia"/>
          <w:color w:val="000000" w:themeColor="text1"/>
          <w:sz w:val="24"/>
          <w:szCs w:val="24"/>
          <w14:textFill>
            <w14:solidFill>
              <w14:schemeClr w14:val="tx1"/>
            </w14:solidFill>
          </w14:textFill>
        </w:rPr>
      </w:pPr>
    </w:p>
    <w:p>
      <w:pPr>
        <w:numPr>
          <w:ilvl w:val="0"/>
          <w:numId w:val="1"/>
        </w:numPr>
        <w:spacing w:line="360" w:lineRule="auto"/>
        <w:contextualSpacing/>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违约责任</w:t>
      </w:r>
    </w:p>
    <w:p>
      <w:pPr>
        <w:pStyle w:val="14"/>
        <w:numPr>
          <w:ilvl w:val="0"/>
          <w:numId w:val="4"/>
        </w:numPr>
        <w:spacing w:line="360" w:lineRule="auto"/>
        <w:ind w:firstLineChars="0"/>
        <w:contextualSpacing/>
        <w:rPr>
          <w:rFonts w:asciiTheme="minorEastAsia" w:hAnsiTheme="minorEastAsia" w:eastAsiaTheme="minorEastAsia"/>
          <w:b/>
          <w:sz w:val="24"/>
          <w:szCs w:val="24"/>
        </w:rPr>
      </w:pPr>
      <w:r>
        <w:rPr>
          <w:rFonts w:hint="eastAsia" w:asciiTheme="minorEastAsia" w:hAnsiTheme="minorEastAsia" w:eastAsiaTheme="minorEastAsia"/>
          <w:b/>
          <w:sz w:val="24"/>
          <w:szCs w:val="24"/>
        </w:rPr>
        <w:t>如乙方或其人员违反本协议约定的，一经发现（包括但不限于被甲方核实属实，或者司法机关判决或第三人核实属实的），乙方除应向甲方赔偿由此给甲方造成的损失外，乙方还承诺向甲方支付双方实际合作违约项目合同总价</w:t>
      </w:r>
      <w:r>
        <w:rPr>
          <w:rFonts w:asciiTheme="minorEastAsia" w:hAnsiTheme="minorEastAsia" w:eastAsiaTheme="minorEastAsia"/>
          <w:b/>
          <w:sz w:val="24"/>
          <w:szCs w:val="24"/>
        </w:rPr>
        <w:t>10%的违约金，并对乙方相关责任人员进行处罚；</w:t>
      </w:r>
      <w:r>
        <w:rPr>
          <w:rFonts w:hint="eastAsia" w:asciiTheme="minorEastAsia" w:hAnsiTheme="minorEastAsia" w:eastAsiaTheme="minorEastAsia"/>
          <w:b/>
          <w:sz w:val="24"/>
          <w:szCs w:val="24"/>
        </w:rPr>
        <w:t>甲方有权以乙方任何一笔往来款项直接冲抵甲方遭受的</w:t>
      </w:r>
      <w:r>
        <w:rPr>
          <w:rFonts w:asciiTheme="minorEastAsia" w:hAnsiTheme="minorEastAsia" w:eastAsiaTheme="minorEastAsia"/>
          <w:b/>
          <w:sz w:val="24"/>
          <w:szCs w:val="24"/>
        </w:rPr>
        <w:t>损失和</w:t>
      </w:r>
      <w:r>
        <w:rPr>
          <w:rFonts w:hint="eastAsia" w:asciiTheme="minorEastAsia" w:hAnsiTheme="minorEastAsia" w:eastAsiaTheme="minorEastAsia"/>
          <w:b/>
          <w:sz w:val="24"/>
          <w:szCs w:val="24"/>
        </w:rPr>
        <w:t>乙方</w:t>
      </w:r>
      <w:r>
        <w:rPr>
          <w:rFonts w:asciiTheme="minorEastAsia" w:hAnsiTheme="minorEastAsia" w:eastAsiaTheme="minorEastAsia"/>
          <w:b/>
          <w:sz w:val="24"/>
          <w:szCs w:val="24"/>
        </w:rPr>
        <w:t>应承担</w:t>
      </w:r>
      <w:r>
        <w:rPr>
          <w:rFonts w:hint="eastAsia" w:asciiTheme="minorEastAsia" w:hAnsiTheme="minorEastAsia" w:eastAsiaTheme="minorEastAsia"/>
          <w:b/>
          <w:sz w:val="24"/>
          <w:szCs w:val="24"/>
        </w:rPr>
        <w:t>的惩罚性</w:t>
      </w:r>
      <w:r>
        <w:rPr>
          <w:rFonts w:asciiTheme="minorEastAsia" w:hAnsiTheme="minorEastAsia" w:eastAsiaTheme="minorEastAsia"/>
          <w:b/>
          <w:sz w:val="24"/>
          <w:szCs w:val="24"/>
        </w:rPr>
        <w:t>违约金</w:t>
      </w:r>
      <w:r>
        <w:rPr>
          <w:rFonts w:hint="eastAsia" w:asciiTheme="minorEastAsia" w:hAnsiTheme="minorEastAsia" w:eastAsiaTheme="minorEastAsia"/>
          <w:b/>
          <w:sz w:val="24"/>
          <w:szCs w:val="24"/>
        </w:rPr>
        <w:t>。</w:t>
      </w:r>
    </w:p>
    <w:p>
      <w:pPr>
        <w:pStyle w:val="14"/>
        <w:numPr>
          <w:ilvl w:val="0"/>
          <w:numId w:val="4"/>
        </w:numPr>
        <w:spacing w:line="360" w:lineRule="auto"/>
        <w:ind w:firstLineChars="0"/>
        <w:contextualSpacing/>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如乙方拒不配合甲方对乙方在合作期间内的阳光合作监督及调查工作的，或者被证实存在隐瞒信息、提供虚假信息和伪证行为的，视为乙方违约。甲方有权视情节严重程度，对双方正在履行的所有</w:t>
      </w:r>
      <w:r>
        <w:rPr>
          <w:rFonts w:asciiTheme="minorEastAsia" w:hAnsiTheme="minorEastAsia" w:eastAsiaTheme="minorEastAsia"/>
          <w:b/>
          <w:color w:val="000000" w:themeColor="text1"/>
          <w:sz w:val="24"/>
          <w:szCs w:val="24"/>
          <w14:textFill>
            <w14:solidFill>
              <w14:schemeClr w14:val="tx1"/>
            </w14:solidFill>
          </w14:textFill>
        </w:rPr>
        <w:t>合作项目的</w:t>
      </w:r>
      <w:r>
        <w:rPr>
          <w:rFonts w:hint="eastAsia" w:asciiTheme="minorEastAsia" w:hAnsiTheme="minorEastAsia" w:eastAsiaTheme="minorEastAsia"/>
          <w:b/>
          <w:color w:val="000000" w:themeColor="text1"/>
          <w:sz w:val="24"/>
          <w:szCs w:val="24"/>
          <w14:textFill>
            <w14:solidFill>
              <w14:schemeClr w14:val="tx1"/>
            </w14:solidFill>
          </w14:textFill>
        </w:rPr>
        <w:t>合同采取终止合作、追究经济损失、解除合同等措施，且无需承担任何违约责任。</w:t>
      </w:r>
    </w:p>
    <w:p>
      <w:pPr>
        <w:pStyle w:val="14"/>
        <w:numPr>
          <w:ilvl w:val="0"/>
          <w:numId w:val="4"/>
        </w:numPr>
        <w:spacing w:line="360" w:lineRule="auto"/>
        <w:ind w:firstLineChars="0"/>
        <w:contextualSpacing/>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如乙方及其人员在合作期间内出现违反本协议约定的行为，甲方有权视情节严重程度，将乙方列入不诚信合作方名单，并在企业反舞弊联盟内进行信息公示。</w:t>
      </w:r>
    </w:p>
    <w:p>
      <w:pPr>
        <w:numPr>
          <w:ilvl w:val="0"/>
          <w:numId w:val="1"/>
        </w:numPr>
        <w:spacing w:line="360" w:lineRule="auto"/>
        <w:contextualSpacing/>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其他</w:t>
      </w:r>
    </w:p>
    <w:p>
      <w:pPr>
        <w:spacing w:line="360" w:lineRule="auto"/>
        <w:ind w:left="480" w:hanging="480" w:hangingChars="200"/>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 本协议约定作为双方合作的基础与前提条件，具有独立的法律效力。本协议未作约定的事项，仍以双方正式合作签署的合作协议约定为准。</w:t>
      </w:r>
    </w:p>
    <w:p>
      <w:pPr>
        <w:spacing w:line="360" w:lineRule="auto"/>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 本协议经双方盖章后生效，一式两份，具有同等法律效力。</w:t>
      </w:r>
    </w:p>
    <w:p>
      <w:pPr>
        <w:spacing w:line="360" w:lineRule="auto"/>
        <w:ind w:right="28"/>
        <w:contextualSpacing/>
        <w:rPr>
          <w:rFonts w:asciiTheme="minorEastAsia" w:hAnsiTheme="minorEastAsia" w:eastAsiaTheme="minorEastAsia"/>
          <w:color w:val="000000" w:themeColor="text1"/>
          <w:sz w:val="24"/>
          <w:szCs w:val="24"/>
          <w14:textFill>
            <w14:solidFill>
              <w14:schemeClr w14:val="tx1"/>
            </w14:solidFill>
          </w14:textFill>
        </w:rPr>
      </w:pPr>
    </w:p>
    <w:p>
      <w:pPr>
        <w:spacing w:line="360" w:lineRule="auto"/>
        <w:ind w:right="28"/>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甲方（盖章）：</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t xml:space="preserve">         乙方（</w:t>
      </w:r>
      <w:r>
        <w:rPr>
          <w:rFonts w:hint="eastAsia" w:asciiTheme="minorEastAsia" w:hAnsiTheme="minorEastAsia" w:eastAsiaTheme="minorEastAsia"/>
          <w:color w:val="000000" w:themeColor="text1"/>
          <w:sz w:val="24"/>
          <w:szCs w:val="24"/>
          <w14:textFill>
            <w14:solidFill>
              <w14:schemeClr w14:val="tx1"/>
            </w14:solidFill>
          </w14:textFill>
        </w:rPr>
        <w:t>盖章）：</w:t>
      </w:r>
    </w:p>
    <w:p>
      <w:pPr>
        <w:spacing w:line="360" w:lineRule="auto"/>
        <w:ind w:right="28"/>
        <w:contextualSpacing/>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住所地</w:t>
      </w: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住所地：</w:t>
      </w:r>
    </w:p>
    <w:p>
      <w:pPr>
        <w:tabs>
          <w:tab w:val="left" w:pos="420"/>
          <w:tab w:val="left" w:pos="840"/>
          <w:tab w:val="left" w:pos="1260"/>
          <w:tab w:val="left" w:pos="1680"/>
          <w:tab w:val="left" w:pos="4440"/>
          <w:tab w:val="left" w:pos="4620"/>
          <w:tab w:val="left" w:pos="6000"/>
        </w:tabs>
        <w:spacing w:line="360" w:lineRule="auto"/>
        <w:ind w:right="28"/>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委托代理人：</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tab/>
      </w:r>
      <w:r>
        <w:rPr>
          <w:rFonts w:hint="eastAsia" w:asciiTheme="minorEastAsia" w:hAnsiTheme="minorEastAsia" w:eastAsiaTheme="minorEastAsia"/>
          <w:color w:val="000000" w:themeColor="text1"/>
          <w:sz w:val="24"/>
          <w:szCs w:val="24"/>
          <w14:textFill>
            <w14:solidFill>
              <w14:schemeClr w14:val="tx1"/>
            </w14:solidFill>
          </w14:textFill>
        </w:rPr>
        <w:t>委托代理人：</w:t>
      </w:r>
    </w:p>
    <w:p>
      <w:pPr>
        <w:spacing w:line="360" w:lineRule="auto"/>
        <w:ind w:right="28"/>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时间：</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年</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月</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日</w:t>
      </w:r>
      <w:bookmarkStart w:id="0" w:name="设计变更通知单"/>
      <w:bookmarkEnd w:id="0"/>
      <w:bookmarkStart w:id="1" w:name="现场签证通知单"/>
      <w:bookmarkEnd w:id="1"/>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时间：</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年</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月</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日</w:t>
      </w:r>
    </w:p>
    <w:p>
      <w:pPr>
        <w:spacing w:line="360" w:lineRule="auto"/>
        <w:ind w:right="28"/>
        <w:contextualSpacing/>
        <w:rPr>
          <w:rFonts w:asciiTheme="minorEastAsia" w:hAnsiTheme="minorEastAsia" w:eastAsiaTheme="minorEastAsia"/>
          <w:color w:val="000000" w:themeColor="text1"/>
          <w:sz w:val="24"/>
          <w:szCs w:val="24"/>
          <w:u w:val="single"/>
          <w14:textFill>
            <w14:solidFill>
              <w14:schemeClr w14:val="tx1"/>
            </w14:solidFill>
          </w14:textFill>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7"/>
      <w:gridCol w:w="2547"/>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935" w:type="dxa"/>
          <w:tcBorders>
            <w:top w:val="single" w:color="auto" w:sz="4" w:space="0"/>
            <w:left w:val="nil"/>
            <w:bottom w:val="single" w:color="auto" w:sz="4" w:space="0"/>
            <w:right w:val="single" w:color="auto" w:sz="4" w:space="0"/>
          </w:tcBorders>
          <w:vAlign w:val="center"/>
        </w:tcPr>
        <w:p>
          <w:pPr>
            <w:rPr>
              <w:rFonts w:ascii="黑体" w:hAnsi="黑体" w:eastAsia="黑体" w:cs="黑体"/>
              <w:sz w:val="18"/>
              <w:szCs w:val="18"/>
            </w:rPr>
          </w:pPr>
          <w:r>
            <w:rPr>
              <w:rFonts w:hint="eastAsia" w:ascii="黑体" w:hAnsi="黑体" w:eastAsia="黑体"/>
              <w:kern w:val="0"/>
              <w:sz w:val="18"/>
              <w:szCs w:val="18"/>
            </w:rPr>
            <w:t>编号：VS-TY-ZH-03-V</w:t>
          </w:r>
          <w:r>
            <w:rPr>
              <w:rFonts w:ascii="黑体" w:hAnsi="黑体" w:eastAsia="黑体"/>
              <w:kern w:val="0"/>
              <w:sz w:val="18"/>
              <w:szCs w:val="18"/>
            </w:rPr>
            <w:t>3</w:t>
          </w:r>
          <w:r>
            <w:rPr>
              <w:rFonts w:hint="eastAsia" w:ascii="黑体" w:hAnsi="黑体" w:eastAsia="黑体"/>
              <w:kern w:val="0"/>
              <w:sz w:val="18"/>
              <w:szCs w:val="18"/>
            </w:rPr>
            <w:t>-□-□-□</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HAnsi" w:hAnsiTheme="minorHAnsi"/>
              <w:szCs w:val="22"/>
            </w:rPr>
          </w:pPr>
        </w:p>
      </w:tc>
      <w:tc>
        <w:tcPr>
          <w:tcW w:w="2529" w:type="dxa"/>
          <w:tcBorders>
            <w:top w:val="single" w:color="auto" w:sz="4" w:space="0"/>
            <w:left w:val="single" w:color="auto" w:sz="4" w:space="0"/>
            <w:bottom w:val="single" w:color="auto" w:sz="4" w:space="0"/>
            <w:right w:val="nil"/>
          </w:tcBorders>
          <w:vAlign w:val="center"/>
        </w:tcPr>
        <w:p>
          <w:pPr>
            <w:rPr>
              <w:rFonts w:ascii="黑体" w:hAnsi="黑体" w:eastAsia="黑体" w:cs="黑体"/>
              <w:sz w:val="18"/>
              <w:szCs w:val="18"/>
            </w:rPr>
          </w:pPr>
          <w:r>
            <w:rPr>
              <w:rFonts w:hint="eastAsia" w:ascii="黑体" w:hAnsi="黑体" w:eastAsia="黑体"/>
              <w:kern w:val="0"/>
              <w:sz w:val="18"/>
              <w:szCs w:val="18"/>
            </w:rPr>
            <w:t>页码：第</w:t>
          </w:r>
          <w:r>
            <w:rPr>
              <w:rFonts w:hint="eastAsia" w:ascii="黑体" w:hAnsi="黑体" w:eastAsia="黑体"/>
              <w:kern w:val="0"/>
              <w:sz w:val="18"/>
              <w:szCs w:val="18"/>
            </w:rPr>
            <w:fldChar w:fldCharType="begin"/>
          </w:r>
          <w:r>
            <w:rPr>
              <w:rFonts w:hint="eastAsia" w:ascii="黑体" w:hAnsi="黑体" w:eastAsia="黑体"/>
              <w:kern w:val="0"/>
              <w:sz w:val="18"/>
              <w:szCs w:val="18"/>
            </w:rPr>
            <w:instrText xml:space="preserve"> PAGE </w:instrText>
          </w:r>
          <w:r>
            <w:rPr>
              <w:rFonts w:hint="eastAsia" w:ascii="黑体" w:hAnsi="黑体" w:eastAsia="黑体"/>
              <w:kern w:val="0"/>
              <w:sz w:val="18"/>
              <w:szCs w:val="18"/>
            </w:rPr>
            <w:fldChar w:fldCharType="separate"/>
          </w:r>
          <w:r>
            <w:rPr>
              <w:rFonts w:ascii="黑体" w:hAnsi="黑体" w:eastAsia="黑体"/>
              <w:kern w:val="0"/>
              <w:sz w:val="18"/>
              <w:szCs w:val="18"/>
            </w:rPr>
            <w:t>4</w:t>
          </w:r>
          <w:r>
            <w:rPr>
              <w:rFonts w:hint="eastAsia" w:ascii="黑体" w:hAnsi="黑体" w:eastAsia="黑体"/>
              <w:kern w:val="0"/>
              <w:sz w:val="18"/>
              <w:szCs w:val="18"/>
            </w:rPr>
            <w:fldChar w:fldCharType="end"/>
          </w:r>
          <w:r>
            <w:rPr>
              <w:rFonts w:hint="eastAsia" w:ascii="黑体" w:hAnsi="黑体" w:eastAsia="黑体"/>
              <w:kern w:val="0"/>
              <w:sz w:val="18"/>
              <w:szCs w:val="18"/>
            </w:rPr>
            <w:t>页 共</w:t>
          </w:r>
          <w:r>
            <w:rPr>
              <w:rFonts w:ascii="黑体" w:hAnsi="黑体" w:eastAsia="黑体"/>
              <w:kern w:val="0"/>
              <w:sz w:val="18"/>
              <w:szCs w:val="18"/>
            </w:rPr>
            <w:t>4</w:t>
          </w:r>
          <w:r>
            <w:rPr>
              <w:rFonts w:hint="eastAsia" w:ascii="黑体" w:hAnsi="黑体" w:eastAsia="黑体"/>
              <w:kern w:val="0"/>
              <w:sz w:val="18"/>
              <w:szCs w:val="18"/>
            </w:rPr>
            <w:t>页</w:t>
          </w:r>
        </w:p>
      </w:tc>
    </w:tr>
  </w:tbl>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70844"/>
    <w:multiLevelType w:val="multilevel"/>
    <w:tmpl w:val="18070844"/>
    <w:lvl w:ilvl="0" w:tentative="0">
      <w:start w:val="1"/>
      <w:numFmt w:val="decimal"/>
      <w:lvlText w:val="%1."/>
      <w:lvlJc w:val="left"/>
      <w:pPr>
        <w:ind w:left="420" w:hanging="420"/>
      </w:pPr>
      <w:rPr>
        <w:rFonts w:asciiTheme="minorEastAsia" w:hAnsiTheme="minorEastAsia" w:eastAsiaTheme="minorEastAsia"/>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B124BA"/>
    <w:multiLevelType w:val="multilevel"/>
    <w:tmpl w:val="47B124BA"/>
    <w:lvl w:ilvl="0" w:tentative="0">
      <w:start w:val="1"/>
      <w:numFmt w:val="chineseCountingThousand"/>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3F40CD8"/>
    <w:multiLevelType w:val="multilevel"/>
    <w:tmpl w:val="53F40CD8"/>
    <w:lvl w:ilvl="0" w:tentative="0">
      <w:start w:val="1"/>
      <w:numFmt w:val="decimalEnclosedCircle"/>
      <w:lvlText w:val="%1"/>
      <w:lvlJc w:val="left"/>
      <w:pPr>
        <w:ind w:left="780" w:hanging="360"/>
      </w:pPr>
      <w:rPr>
        <w:rFonts w:hint="default"/>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781056F8"/>
    <w:multiLevelType w:val="multilevel"/>
    <w:tmpl w:val="781056F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175"/>
    <w:rsid w:val="0000423F"/>
    <w:rsid w:val="00004A6D"/>
    <w:rsid w:val="00011ABE"/>
    <w:rsid w:val="00014869"/>
    <w:rsid w:val="00014A4F"/>
    <w:rsid w:val="00014F46"/>
    <w:rsid w:val="0002047E"/>
    <w:rsid w:val="00020AE0"/>
    <w:rsid w:val="00032F82"/>
    <w:rsid w:val="00040455"/>
    <w:rsid w:val="00050C8F"/>
    <w:rsid w:val="000601DD"/>
    <w:rsid w:val="0006073E"/>
    <w:rsid w:val="000607E6"/>
    <w:rsid w:val="00063CB6"/>
    <w:rsid w:val="000640A9"/>
    <w:rsid w:val="00065ABE"/>
    <w:rsid w:val="00066869"/>
    <w:rsid w:val="00067858"/>
    <w:rsid w:val="000679E1"/>
    <w:rsid w:val="00073686"/>
    <w:rsid w:val="00074E80"/>
    <w:rsid w:val="00087C41"/>
    <w:rsid w:val="00087E5E"/>
    <w:rsid w:val="00091175"/>
    <w:rsid w:val="00094AB4"/>
    <w:rsid w:val="000A1AB8"/>
    <w:rsid w:val="000A35E7"/>
    <w:rsid w:val="000B3AB8"/>
    <w:rsid w:val="000B61B9"/>
    <w:rsid w:val="000C216B"/>
    <w:rsid w:val="000C7D1A"/>
    <w:rsid w:val="000D019F"/>
    <w:rsid w:val="000D0902"/>
    <w:rsid w:val="000D1E5D"/>
    <w:rsid w:val="000D652E"/>
    <w:rsid w:val="000D7F56"/>
    <w:rsid w:val="000E14DD"/>
    <w:rsid w:val="000F24D1"/>
    <w:rsid w:val="000F31A1"/>
    <w:rsid w:val="000F33A3"/>
    <w:rsid w:val="000F46B8"/>
    <w:rsid w:val="00101A4E"/>
    <w:rsid w:val="00114A95"/>
    <w:rsid w:val="0011510A"/>
    <w:rsid w:val="001236C2"/>
    <w:rsid w:val="00123D80"/>
    <w:rsid w:val="0012459D"/>
    <w:rsid w:val="00125353"/>
    <w:rsid w:val="00134180"/>
    <w:rsid w:val="00137F14"/>
    <w:rsid w:val="00144238"/>
    <w:rsid w:val="0014669E"/>
    <w:rsid w:val="00154F4D"/>
    <w:rsid w:val="00156350"/>
    <w:rsid w:val="001564F7"/>
    <w:rsid w:val="001566D0"/>
    <w:rsid w:val="00172070"/>
    <w:rsid w:val="00175C9E"/>
    <w:rsid w:val="00177A7A"/>
    <w:rsid w:val="00180873"/>
    <w:rsid w:val="001816A3"/>
    <w:rsid w:val="001864FF"/>
    <w:rsid w:val="001A0447"/>
    <w:rsid w:val="001A0E7D"/>
    <w:rsid w:val="001A1DE2"/>
    <w:rsid w:val="001A4799"/>
    <w:rsid w:val="001B055A"/>
    <w:rsid w:val="001B3C9D"/>
    <w:rsid w:val="001C51C7"/>
    <w:rsid w:val="001D070A"/>
    <w:rsid w:val="001D20EE"/>
    <w:rsid w:val="001D4B6B"/>
    <w:rsid w:val="001D721E"/>
    <w:rsid w:val="001E0A21"/>
    <w:rsid w:val="001F2DDD"/>
    <w:rsid w:val="001F4CF4"/>
    <w:rsid w:val="001F6239"/>
    <w:rsid w:val="00201D29"/>
    <w:rsid w:val="0020368E"/>
    <w:rsid w:val="00211011"/>
    <w:rsid w:val="00213C2F"/>
    <w:rsid w:val="00215711"/>
    <w:rsid w:val="00217B2B"/>
    <w:rsid w:val="002235A5"/>
    <w:rsid w:val="00225414"/>
    <w:rsid w:val="0023330D"/>
    <w:rsid w:val="0023656A"/>
    <w:rsid w:val="00242730"/>
    <w:rsid w:val="00244192"/>
    <w:rsid w:val="002501FB"/>
    <w:rsid w:val="00253C0C"/>
    <w:rsid w:val="0025529D"/>
    <w:rsid w:val="002558A0"/>
    <w:rsid w:val="0026716C"/>
    <w:rsid w:val="0027013C"/>
    <w:rsid w:val="002739DA"/>
    <w:rsid w:val="0027462F"/>
    <w:rsid w:val="0027766D"/>
    <w:rsid w:val="002A46EB"/>
    <w:rsid w:val="002A4AFB"/>
    <w:rsid w:val="002B4FA0"/>
    <w:rsid w:val="002B5442"/>
    <w:rsid w:val="002C3657"/>
    <w:rsid w:val="002C4BA1"/>
    <w:rsid w:val="002C5782"/>
    <w:rsid w:val="002D1605"/>
    <w:rsid w:val="002D4A81"/>
    <w:rsid w:val="002D5431"/>
    <w:rsid w:val="002E5FCC"/>
    <w:rsid w:val="002F33BA"/>
    <w:rsid w:val="00300222"/>
    <w:rsid w:val="00300965"/>
    <w:rsid w:val="00312884"/>
    <w:rsid w:val="00315A35"/>
    <w:rsid w:val="00326BFB"/>
    <w:rsid w:val="00327557"/>
    <w:rsid w:val="0033024C"/>
    <w:rsid w:val="00332DEA"/>
    <w:rsid w:val="00337134"/>
    <w:rsid w:val="0034113F"/>
    <w:rsid w:val="00343D12"/>
    <w:rsid w:val="00347575"/>
    <w:rsid w:val="00347BC5"/>
    <w:rsid w:val="00355611"/>
    <w:rsid w:val="00365413"/>
    <w:rsid w:val="00365619"/>
    <w:rsid w:val="00367BAA"/>
    <w:rsid w:val="0037113C"/>
    <w:rsid w:val="00376276"/>
    <w:rsid w:val="003813DF"/>
    <w:rsid w:val="00384A18"/>
    <w:rsid w:val="00385915"/>
    <w:rsid w:val="0039220F"/>
    <w:rsid w:val="003A6D19"/>
    <w:rsid w:val="003A71A6"/>
    <w:rsid w:val="003B0A3F"/>
    <w:rsid w:val="003B3941"/>
    <w:rsid w:val="003B3A2A"/>
    <w:rsid w:val="003B68FF"/>
    <w:rsid w:val="003C1203"/>
    <w:rsid w:val="003C2236"/>
    <w:rsid w:val="003C3CFD"/>
    <w:rsid w:val="003C7461"/>
    <w:rsid w:val="003D6571"/>
    <w:rsid w:val="003E5A21"/>
    <w:rsid w:val="003E5C9F"/>
    <w:rsid w:val="003E657D"/>
    <w:rsid w:val="003F380A"/>
    <w:rsid w:val="003F3817"/>
    <w:rsid w:val="004140D5"/>
    <w:rsid w:val="00414A5A"/>
    <w:rsid w:val="00416424"/>
    <w:rsid w:val="00424048"/>
    <w:rsid w:val="00424161"/>
    <w:rsid w:val="00424BB0"/>
    <w:rsid w:val="00424FA9"/>
    <w:rsid w:val="004269C7"/>
    <w:rsid w:val="004322E3"/>
    <w:rsid w:val="00435DA9"/>
    <w:rsid w:val="004371EB"/>
    <w:rsid w:val="00441BD6"/>
    <w:rsid w:val="004465AB"/>
    <w:rsid w:val="00452994"/>
    <w:rsid w:val="0045433D"/>
    <w:rsid w:val="00455AB8"/>
    <w:rsid w:val="004566D6"/>
    <w:rsid w:val="00462678"/>
    <w:rsid w:val="004632A6"/>
    <w:rsid w:val="004707F0"/>
    <w:rsid w:val="00471B7F"/>
    <w:rsid w:val="00474F0A"/>
    <w:rsid w:val="0048752B"/>
    <w:rsid w:val="004923AB"/>
    <w:rsid w:val="00495951"/>
    <w:rsid w:val="00497A6C"/>
    <w:rsid w:val="004A1EB1"/>
    <w:rsid w:val="004A660B"/>
    <w:rsid w:val="004C19D2"/>
    <w:rsid w:val="004C51BD"/>
    <w:rsid w:val="004D3640"/>
    <w:rsid w:val="004D65F9"/>
    <w:rsid w:val="004D6AFC"/>
    <w:rsid w:val="004D7F8D"/>
    <w:rsid w:val="004E0FF2"/>
    <w:rsid w:val="004F2CDE"/>
    <w:rsid w:val="004F3E2F"/>
    <w:rsid w:val="0050067A"/>
    <w:rsid w:val="005023C7"/>
    <w:rsid w:val="00507429"/>
    <w:rsid w:val="0051686D"/>
    <w:rsid w:val="0052351F"/>
    <w:rsid w:val="00523E42"/>
    <w:rsid w:val="0053262E"/>
    <w:rsid w:val="00532B36"/>
    <w:rsid w:val="00537C9C"/>
    <w:rsid w:val="00543DED"/>
    <w:rsid w:val="0056076D"/>
    <w:rsid w:val="00560E1C"/>
    <w:rsid w:val="00573581"/>
    <w:rsid w:val="005801F8"/>
    <w:rsid w:val="005808D3"/>
    <w:rsid w:val="00584CB9"/>
    <w:rsid w:val="00586CEA"/>
    <w:rsid w:val="0059068C"/>
    <w:rsid w:val="0059185C"/>
    <w:rsid w:val="00593F29"/>
    <w:rsid w:val="00594E1B"/>
    <w:rsid w:val="005958E6"/>
    <w:rsid w:val="005A1066"/>
    <w:rsid w:val="005B4282"/>
    <w:rsid w:val="005B786C"/>
    <w:rsid w:val="005C5D34"/>
    <w:rsid w:val="005D14E4"/>
    <w:rsid w:val="005D6918"/>
    <w:rsid w:val="005D77CC"/>
    <w:rsid w:val="005E0FFD"/>
    <w:rsid w:val="005E2013"/>
    <w:rsid w:val="005E2E59"/>
    <w:rsid w:val="005E2EF3"/>
    <w:rsid w:val="005E4293"/>
    <w:rsid w:val="005E5960"/>
    <w:rsid w:val="005F300F"/>
    <w:rsid w:val="00600C61"/>
    <w:rsid w:val="00601AAF"/>
    <w:rsid w:val="00601E39"/>
    <w:rsid w:val="00605190"/>
    <w:rsid w:val="006061E4"/>
    <w:rsid w:val="00606676"/>
    <w:rsid w:val="00612087"/>
    <w:rsid w:val="00614A8E"/>
    <w:rsid w:val="00617AF3"/>
    <w:rsid w:val="006417A7"/>
    <w:rsid w:val="00642E12"/>
    <w:rsid w:val="00645FD8"/>
    <w:rsid w:val="0065352E"/>
    <w:rsid w:val="00654D14"/>
    <w:rsid w:val="00654D4D"/>
    <w:rsid w:val="006620D8"/>
    <w:rsid w:val="00670A17"/>
    <w:rsid w:val="00672550"/>
    <w:rsid w:val="00674A7E"/>
    <w:rsid w:val="0067616E"/>
    <w:rsid w:val="00677B15"/>
    <w:rsid w:val="00681FBB"/>
    <w:rsid w:val="00683A6A"/>
    <w:rsid w:val="006847F3"/>
    <w:rsid w:val="006852A9"/>
    <w:rsid w:val="0068578E"/>
    <w:rsid w:val="00685FB2"/>
    <w:rsid w:val="00692D3B"/>
    <w:rsid w:val="006967CB"/>
    <w:rsid w:val="006A0A37"/>
    <w:rsid w:val="006A2314"/>
    <w:rsid w:val="006A25B7"/>
    <w:rsid w:val="006A5746"/>
    <w:rsid w:val="006A70A2"/>
    <w:rsid w:val="006A746C"/>
    <w:rsid w:val="006B082F"/>
    <w:rsid w:val="006B417C"/>
    <w:rsid w:val="006B76E1"/>
    <w:rsid w:val="006B76EA"/>
    <w:rsid w:val="006C1045"/>
    <w:rsid w:val="006C274D"/>
    <w:rsid w:val="006C29EE"/>
    <w:rsid w:val="006C53A2"/>
    <w:rsid w:val="006C62D3"/>
    <w:rsid w:val="006D2567"/>
    <w:rsid w:val="006D719C"/>
    <w:rsid w:val="006E46AF"/>
    <w:rsid w:val="006F28D3"/>
    <w:rsid w:val="00701C39"/>
    <w:rsid w:val="00703CE9"/>
    <w:rsid w:val="007069EE"/>
    <w:rsid w:val="007072EE"/>
    <w:rsid w:val="00710EAD"/>
    <w:rsid w:val="00715FB4"/>
    <w:rsid w:val="00723E71"/>
    <w:rsid w:val="00724B89"/>
    <w:rsid w:val="00726B8D"/>
    <w:rsid w:val="00730CC4"/>
    <w:rsid w:val="00735DD3"/>
    <w:rsid w:val="007419A6"/>
    <w:rsid w:val="00742370"/>
    <w:rsid w:val="0075528A"/>
    <w:rsid w:val="00760D27"/>
    <w:rsid w:val="007622E5"/>
    <w:rsid w:val="00774253"/>
    <w:rsid w:val="00776373"/>
    <w:rsid w:val="007813D4"/>
    <w:rsid w:val="007859D8"/>
    <w:rsid w:val="0079499D"/>
    <w:rsid w:val="007971B9"/>
    <w:rsid w:val="00797D73"/>
    <w:rsid w:val="007A1C2B"/>
    <w:rsid w:val="007A3AFA"/>
    <w:rsid w:val="007B25A8"/>
    <w:rsid w:val="007B2B4F"/>
    <w:rsid w:val="007B43A8"/>
    <w:rsid w:val="007B5A72"/>
    <w:rsid w:val="007C0D8C"/>
    <w:rsid w:val="007E073E"/>
    <w:rsid w:val="007E3940"/>
    <w:rsid w:val="007E48EC"/>
    <w:rsid w:val="007F0878"/>
    <w:rsid w:val="0080383A"/>
    <w:rsid w:val="00803F11"/>
    <w:rsid w:val="008047DD"/>
    <w:rsid w:val="00820A0A"/>
    <w:rsid w:val="00824C3C"/>
    <w:rsid w:val="008268D9"/>
    <w:rsid w:val="00835AF4"/>
    <w:rsid w:val="008427E8"/>
    <w:rsid w:val="00850CFE"/>
    <w:rsid w:val="00852DE2"/>
    <w:rsid w:val="00863984"/>
    <w:rsid w:val="00866F84"/>
    <w:rsid w:val="00867F10"/>
    <w:rsid w:val="00871384"/>
    <w:rsid w:val="00881981"/>
    <w:rsid w:val="00884A3C"/>
    <w:rsid w:val="0088531A"/>
    <w:rsid w:val="00885F6E"/>
    <w:rsid w:val="00886243"/>
    <w:rsid w:val="008866F3"/>
    <w:rsid w:val="0088686B"/>
    <w:rsid w:val="008876EF"/>
    <w:rsid w:val="00887AF5"/>
    <w:rsid w:val="00887B6A"/>
    <w:rsid w:val="0089368E"/>
    <w:rsid w:val="008A676C"/>
    <w:rsid w:val="008C28A3"/>
    <w:rsid w:val="008D721C"/>
    <w:rsid w:val="008E01D1"/>
    <w:rsid w:val="008E1DD1"/>
    <w:rsid w:val="008E481F"/>
    <w:rsid w:val="008E53F1"/>
    <w:rsid w:val="008F25A6"/>
    <w:rsid w:val="008F5467"/>
    <w:rsid w:val="00900EE7"/>
    <w:rsid w:val="00901629"/>
    <w:rsid w:val="009034B4"/>
    <w:rsid w:val="00904399"/>
    <w:rsid w:val="00904BA2"/>
    <w:rsid w:val="00907FA0"/>
    <w:rsid w:val="00926298"/>
    <w:rsid w:val="009320B2"/>
    <w:rsid w:val="0094151D"/>
    <w:rsid w:val="00943780"/>
    <w:rsid w:val="009462AB"/>
    <w:rsid w:val="00952589"/>
    <w:rsid w:val="00952732"/>
    <w:rsid w:val="009532A5"/>
    <w:rsid w:val="00976359"/>
    <w:rsid w:val="009779F7"/>
    <w:rsid w:val="009833F7"/>
    <w:rsid w:val="00983E78"/>
    <w:rsid w:val="0098474E"/>
    <w:rsid w:val="00984EC6"/>
    <w:rsid w:val="00986F04"/>
    <w:rsid w:val="00987A9A"/>
    <w:rsid w:val="00995690"/>
    <w:rsid w:val="00997CCF"/>
    <w:rsid w:val="009A04B2"/>
    <w:rsid w:val="009A5823"/>
    <w:rsid w:val="009A5DF5"/>
    <w:rsid w:val="009B070B"/>
    <w:rsid w:val="009B0B90"/>
    <w:rsid w:val="009B50F6"/>
    <w:rsid w:val="009C3B00"/>
    <w:rsid w:val="009C5E18"/>
    <w:rsid w:val="009D37FB"/>
    <w:rsid w:val="009D49A3"/>
    <w:rsid w:val="009E686A"/>
    <w:rsid w:val="009E6F4E"/>
    <w:rsid w:val="009F0C44"/>
    <w:rsid w:val="009F4243"/>
    <w:rsid w:val="009F66B6"/>
    <w:rsid w:val="00A02C90"/>
    <w:rsid w:val="00A034C1"/>
    <w:rsid w:val="00A056FF"/>
    <w:rsid w:val="00A21105"/>
    <w:rsid w:val="00A24254"/>
    <w:rsid w:val="00A25DB3"/>
    <w:rsid w:val="00A44BB4"/>
    <w:rsid w:val="00A46A05"/>
    <w:rsid w:val="00A50575"/>
    <w:rsid w:val="00A56731"/>
    <w:rsid w:val="00A802DB"/>
    <w:rsid w:val="00A82F59"/>
    <w:rsid w:val="00A83D0C"/>
    <w:rsid w:val="00A85840"/>
    <w:rsid w:val="00A87735"/>
    <w:rsid w:val="00A918F2"/>
    <w:rsid w:val="00A94166"/>
    <w:rsid w:val="00A945A8"/>
    <w:rsid w:val="00AA4A4A"/>
    <w:rsid w:val="00AB422F"/>
    <w:rsid w:val="00AB44FD"/>
    <w:rsid w:val="00AB62CB"/>
    <w:rsid w:val="00AC1437"/>
    <w:rsid w:val="00AC14F7"/>
    <w:rsid w:val="00AE037A"/>
    <w:rsid w:val="00AE26E8"/>
    <w:rsid w:val="00AE33E7"/>
    <w:rsid w:val="00AF163A"/>
    <w:rsid w:val="00AF1911"/>
    <w:rsid w:val="00B01596"/>
    <w:rsid w:val="00B044A7"/>
    <w:rsid w:val="00B138CE"/>
    <w:rsid w:val="00B14D13"/>
    <w:rsid w:val="00B14DA8"/>
    <w:rsid w:val="00B21276"/>
    <w:rsid w:val="00B25C76"/>
    <w:rsid w:val="00B33416"/>
    <w:rsid w:val="00B3369D"/>
    <w:rsid w:val="00B4728E"/>
    <w:rsid w:val="00B477F3"/>
    <w:rsid w:val="00B561D4"/>
    <w:rsid w:val="00B70FD7"/>
    <w:rsid w:val="00B81820"/>
    <w:rsid w:val="00B8182B"/>
    <w:rsid w:val="00B82C88"/>
    <w:rsid w:val="00B9394C"/>
    <w:rsid w:val="00BA49E4"/>
    <w:rsid w:val="00BA6B6D"/>
    <w:rsid w:val="00BB3E66"/>
    <w:rsid w:val="00BB6923"/>
    <w:rsid w:val="00BC62B2"/>
    <w:rsid w:val="00BC6377"/>
    <w:rsid w:val="00BD0110"/>
    <w:rsid w:val="00BD23FB"/>
    <w:rsid w:val="00BD42D2"/>
    <w:rsid w:val="00BE57E2"/>
    <w:rsid w:val="00C1080A"/>
    <w:rsid w:val="00C21412"/>
    <w:rsid w:val="00C247BE"/>
    <w:rsid w:val="00C24A1B"/>
    <w:rsid w:val="00C331B5"/>
    <w:rsid w:val="00C33C35"/>
    <w:rsid w:val="00C34A68"/>
    <w:rsid w:val="00C34C43"/>
    <w:rsid w:val="00C37873"/>
    <w:rsid w:val="00C4179A"/>
    <w:rsid w:val="00C43E49"/>
    <w:rsid w:val="00C452DD"/>
    <w:rsid w:val="00C51C4D"/>
    <w:rsid w:val="00C534B3"/>
    <w:rsid w:val="00C547F6"/>
    <w:rsid w:val="00C601C8"/>
    <w:rsid w:val="00C63B48"/>
    <w:rsid w:val="00C65F7F"/>
    <w:rsid w:val="00C73143"/>
    <w:rsid w:val="00C75545"/>
    <w:rsid w:val="00C859C8"/>
    <w:rsid w:val="00C90AEA"/>
    <w:rsid w:val="00C95796"/>
    <w:rsid w:val="00CA0EB3"/>
    <w:rsid w:val="00CA616C"/>
    <w:rsid w:val="00CB1D72"/>
    <w:rsid w:val="00CB39E8"/>
    <w:rsid w:val="00CB406B"/>
    <w:rsid w:val="00CB4B41"/>
    <w:rsid w:val="00CB7735"/>
    <w:rsid w:val="00CC3F0D"/>
    <w:rsid w:val="00CD1E9B"/>
    <w:rsid w:val="00CD2274"/>
    <w:rsid w:val="00CD2CC6"/>
    <w:rsid w:val="00CD469F"/>
    <w:rsid w:val="00CD49CD"/>
    <w:rsid w:val="00CD5D4A"/>
    <w:rsid w:val="00CE00D3"/>
    <w:rsid w:val="00CE11A3"/>
    <w:rsid w:val="00CF0190"/>
    <w:rsid w:val="00CF4E66"/>
    <w:rsid w:val="00D00606"/>
    <w:rsid w:val="00D01825"/>
    <w:rsid w:val="00D027C1"/>
    <w:rsid w:val="00D06951"/>
    <w:rsid w:val="00D07810"/>
    <w:rsid w:val="00D12785"/>
    <w:rsid w:val="00D127D0"/>
    <w:rsid w:val="00D15011"/>
    <w:rsid w:val="00D323EE"/>
    <w:rsid w:val="00D33348"/>
    <w:rsid w:val="00D42DC0"/>
    <w:rsid w:val="00D4518C"/>
    <w:rsid w:val="00D55A16"/>
    <w:rsid w:val="00D63926"/>
    <w:rsid w:val="00D63AB2"/>
    <w:rsid w:val="00D6662B"/>
    <w:rsid w:val="00D72AB0"/>
    <w:rsid w:val="00D72F81"/>
    <w:rsid w:val="00D7596A"/>
    <w:rsid w:val="00D80CA1"/>
    <w:rsid w:val="00D92F91"/>
    <w:rsid w:val="00DA21EA"/>
    <w:rsid w:val="00DB04EA"/>
    <w:rsid w:val="00DB551F"/>
    <w:rsid w:val="00DC0B22"/>
    <w:rsid w:val="00DC3D07"/>
    <w:rsid w:val="00DC5296"/>
    <w:rsid w:val="00DD56EA"/>
    <w:rsid w:val="00DE124E"/>
    <w:rsid w:val="00DE3EE2"/>
    <w:rsid w:val="00DF3BA5"/>
    <w:rsid w:val="00E04E36"/>
    <w:rsid w:val="00E05737"/>
    <w:rsid w:val="00E0614C"/>
    <w:rsid w:val="00E12CF4"/>
    <w:rsid w:val="00E17BED"/>
    <w:rsid w:val="00E259BC"/>
    <w:rsid w:val="00E33311"/>
    <w:rsid w:val="00E379B5"/>
    <w:rsid w:val="00E4180D"/>
    <w:rsid w:val="00E44AAB"/>
    <w:rsid w:val="00E45224"/>
    <w:rsid w:val="00E553A2"/>
    <w:rsid w:val="00E56DFD"/>
    <w:rsid w:val="00E6096D"/>
    <w:rsid w:val="00E72B39"/>
    <w:rsid w:val="00E75C90"/>
    <w:rsid w:val="00E76148"/>
    <w:rsid w:val="00E80096"/>
    <w:rsid w:val="00E82642"/>
    <w:rsid w:val="00E846B3"/>
    <w:rsid w:val="00E93302"/>
    <w:rsid w:val="00EA0682"/>
    <w:rsid w:val="00EA2825"/>
    <w:rsid w:val="00EB2460"/>
    <w:rsid w:val="00EC25E7"/>
    <w:rsid w:val="00EC7FFB"/>
    <w:rsid w:val="00ED3D9B"/>
    <w:rsid w:val="00ED73CA"/>
    <w:rsid w:val="00EE3133"/>
    <w:rsid w:val="00EE49AE"/>
    <w:rsid w:val="00EE7984"/>
    <w:rsid w:val="00EF0214"/>
    <w:rsid w:val="00EF298C"/>
    <w:rsid w:val="00EF5B7A"/>
    <w:rsid w:val="00EF5C38"/>
    <w:rsid w:val="00EF64A4"/>
    <w:rsid w:val="00F01CCD"/>
    <w:rsid w:val="00F03042"/>
    <w:rsid w:val="00F0317D"/>
    <w:rsid w:val="00F03892"/>
    <w:rsid w:val="00F06E8D"/>
    <w:rsid w:val="00F10D57"/>
    <w:rsid w:val="00F1388C"/>
    <w:rsid w:val="00F20C58"/>
    <w:rsid w:val="00F216B3"/>
    <w:rsid w:val="00F21BC8"/>
    <w:rsid w:val="00F266D5"/>
    <w:rsid w:val="00F327E1"/>
    <w:rsid w:val="00F3502B"/>
    <w:rsid w:val="00F402C5"/>
    <w:rsid w:val="00F436E3"/>
    <w:rsid w:val="00F43B89"/>
    <w:rsid w:val="00F501F2"/>
    <w:rsid w:val="00F5458A"/>
    <w:rsid w:val="00F57533"/>
    <w:rsid w:val="00F64DA7"/>
    <w:rsid w:val="00F66A11"/>
    <w:rsid w:val="00F67587"/>
    <w:rsid w:val="00F67C72"/>
    <w:rsid w:val="00F7550D"/>
    <w:rsid w:val="00F85D7E"/>
    <w:rsid w:val="00F912FE"/>
    <w:rsid w:val="00F919C4"/>
    <w:rsid w:val="00F932F3"/>
    <w:rsid w:val="00F93D48"/>
    <w:rsid w:val="00F945CA"/>
    <w:rsid w:val="00F9691A"/>
    <w:rsid w:val="00F97078"/>
    <w:rsid w:val="00FA247A"/>
    <w:rsid w:val="00FA6058"/>
    <w:rsid w:val="00FA7480"/>
    <w:rsid w:val="00FB01AC"/>
    <w:rsid w:val="00FB4B36"/>
    <w:rsid w:val="00FB674F"/>
    <w:rsid w:val="00FB7BED"/>
    <w:rsid w:val="00FC0684"/>
    <w:rsid w:val="00FC1A09"/>
    <w:rsid w:val="00FC6B75"/>
    <w:rsid w:val="00FD4635"/>
    <w:rsid w:val="00FD7EEF"/>
    <w:rsid w:val="00FE0198"/>
    <w:rsid w:val="00FE1D77"/>
    <w:rsid w:val="00FF20D1"/>
    <w:rsid w:val="00FF2AB8"/>
    <w:rsid w:val="00FF38B1"/>
    <w:rsid w:val="00FF6AD7"/>
    <w:rsid w:val="12F478A6"/>
    <w:rsid w:val="1D7000B6"/>
    <w:rsid w:val="31F16321"/>
    <w:rsid w:val="340D0A56"/>
    <w:rsid w:val="4141033E"/>
    <w:rsid w:val="42174713"/>
    <w:rsid w:val="4C3E16B4"/>
    <w:rsid w:val="4ED3717F"/>
    <w:rsid w:val="50D12470"/>
    <w:rsid w:val="525E19A2"/>
    <w:rsid w:val="56651930"/>
    <w:rsid w:val="7D914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Plain Text"/>
    <w:basedOn w:val="1"/>
    <w:link w:val="13"/>
    <w:unhideWhenUsed/>
    <w:qFormat/>
    <w:uiPriority w:val="99"/>
    <w:pPr>
      <w:jc w:val="left"/>
    </w:pPr>
    <w:rPr>
      <w:rFonts w:ascii="Calibri" w:hAnsi="Courier New" w:cs="Courier New"/>
      <w:szCs w:val="21"/>
    </w:rPr>
  </w:style>
  <w:style w:type="paragraph" w:styleId="4">
    <w:name w:val="Balloon Text"/>
    <w:basedOn w:val="1"/>
    <w:link w:val="15"/>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99"/>
    <w:rPr>
      <w:b/>
      <w:bCs/>
    </w:rPr>
  </w:style>
  <w:style w:type="character" w:styleId="10">
    <w:name w:val="Emphasis"/>
    <w:basedOn w:val="9"/>
    <w:qFormat/>
    <w:uiPriority w:val="20"/>
    <w:rPr>
      <w:color w:val="CC0000"/>
    </w:rPr>
  </w:style>
  <w:style w:type="character" w:styleId="11">
    <w:name w:val="Hyperlink"/>
    <w:qFormat/>
    <w:uiPriority w:val="0"/>
    <w:rPr>
      <w:color w:val="0000FF"/>
      <w:u w:val="single"/>
    </w:rPr>
  </w:style>
  <w:style w:type="character" w:styleId="12">
    <w:name w:val="annotation reference"/>
    <w:basedOn w:val="9"/>
    <w:semiHidden/>
    <w:unhideWhenUsed/>
    <w:qFormat/>
    <w:uiPriority w:val="99"/>
    <w:rPr>
      <w:sz w:val="21"/>
      <w:szCs w:val="21"/>
    </w:rPr>
  </w:style>
  <w:style w:type="character" w:customStyle="1" w:styleId="13">
    <w:name w:val="纯文本 字符"/>
    <w:basedOn w:val="9"/>
    <w:link w:val="3"/>
    <w:uiPriority w:val="99"/>
    <w:rPr>
      <w:rFonts w:ascii="Calibri" w:hAnsi="Courier New" w:eastAsia="宋体" w:cs="Courier New"/>
      <w:szCs w:val="21"/>
    </w:rPr>
  </w:style>
  <w:style w:type="paragraph" w:styleId="14">
    <w:name w:val="List Paragraph"/>
    <w:basedOn w:val="1"/>
    <w:qFormat/>
    <w:uiPriority w:val="34"/>
    <w:pPr>
      <w:ind w:firstLine="420" w:firstLineChars="200"/>
    </w:pPr>
  </w:style>
  <w:style w:type="character" w:customStyle="1" w:styleId="15">
    <w:name w:val="批注框文本 字符"/>
    <w:basedOn w:val="9"/>
    <w:link w:val="4"/>
    <w:semiHidden/>
    <w:uiPriority w:val="99"/>
    <w:rPr>
      <w:rFonts w:ascii="Times New Roman" w:hAnsi="Times New Roman" w:eastAsia="宋体" w:cs="Times New Roman"/>
      <w:sz w:val="18"/>
      <w:szCs w:val="18"/>
    </w:rPr>
  </w:style>
  <w:style w:type="character" w:customStyle="1" w:styleId="16">
    <w:name w:val="页眉 字符"/>
    <w:basedOn w:val="9"/>
    <w:link w:val="6"/>
    <w:qFormat/>
    <w:uiPriority w:val="99"/>
    <w:rPr>
      <w:rFonts w:ascii="Times New Roman" w:hAnsi="Times New Roman" w:eastAsia="宋体" w:cs="Times New Roman"/>
      <w:sz w:val="18"/>
      <w:szCs w:val="18"/>
    </w:rPr>
  </w:style>
  <w:style w:type="character" w:customStyle="1" w:styleId="17">
    <w:name w:val="页脚 字符"/>
    <w:basedOn w:val="9"/>
    <w:link w:val="5"/>
    <w:qFormat/>
    <w:uiPriority w:val="99"/>
    <w:rPr>
      <w:rFonts w:ascii="Times New Roman" w:hAnsi="Times New Roman" w:eastAsia="宋体" w:cs="Times New Roman"/>
      <w:sz w:val="18"/>
      <w:szCs w:val="18"/>
    </w:rPr>
  </w:style>
  <w:style w:type="character" w:customStyle="1" w:styleId="18">
    <w:name w:val="批注文字 字符"/>
    <w:basedOn w:val="9"/>
    <w:link w:val="2"/>
    <w:qFormat/>
    <w:uiPriority w:val="99"/>
    <w:rPr>
      <w:rFonts w:ascii="Times New Roman" w:hAnsi="Times New Roman" w:eastAsia="宋体" w:cs="Times New Roman"/>
      <w:szCs w:val="20"/>
    </w:rPr>
  </w:style>
  <w:style w:type="character" w:customStyle="1" w:styleId="19">
    <w:name w:val="批注主题 字符"/>
    <w:basedOn w:val="18"/>
    <w:link w:val="7"/>
    <w:semiHidden/>
    <w:uiPriority w:val="99"/>
    <w:rPr>
      <w:rFonts w:ascii="Times New Roman" w:hAnsi="Times New Roman" w:eastAsia="宋体" w:cs="Times New Roman"/>
      <w:b/>
      <w:bCs/>
      <w:szCs w:val="20"/>
    </w:rPr>
  </w:style>
  <w:style w:type="paragraph" w:customStyle="1" w:styleId="20">
    <w:name w:val="修订1"/>
    <w:hidden/>
    <w:semiHidden/>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1F0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64478A-007E-4CC6-8594-F8BEFACB2544}">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4</Pages>
  <Words>449</Words>
  <Characters>2565</Characters>
  <Lines>21</Lines>
  <Paragraphs>6</Paragraphs>
  <TotalTime>83</TotalTime>
  <ScaleCrop>false</ScaleCrop>
  <LinksUpToDate>false</LinksUpToDate>
  <CharactersWithSpaces>3008</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2020-08-31T16:54:00Z</dcterms:created>
  <dc:creator>ASJA01.马可</dc:creator>
  <cp:lastModifiedBy>勾秀连</cp:lastModifiedBy>
  <dcterms:modified xsi:type="dcterms:W3CDTF">2020-11-20T07:47:38Z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(3)+yEzIDNqxBkK3P2QBwIMAftDVr69VH+Eb50Sg+DeDjHxwJQ+aq6npp6dDy4TKMrIgWceh33n
aT9TIF0f0UdX3CQzuQQpFJgMfrhhsB/nx3qulk4D95H8RtZZcHAY/Ha8PlfLTrNlgEYURPq6
9OGc2gq3egwdkLgvZOaKNwpGuo0a2v46tzlFD3Ye7vIN+l7k4owRLqPr2epSYiIvAbyxOfBz
+FZoaWhrgiHZ7mcBZh</vt:lpwstr>
  </property>
  <property fmtid="{D5CDD505-2E9C-101B-9397-08002B2CF9AE}" pid="3" name="_2015_ms_pID_7253431">
    <vt:lpwstr>USFmKQuUe/b5UhCH8LiEw1AlZrFucmln3MmmL+P3stdiX4ptSQqLgC
xVm4q3agPDVqB6QVRw9PmALGr0Pg3lSIhxpVUZorpobYi5HbJx6ru7+FxSIxJL89g6GHso/z
CfjQpKvOJIG5i/qMxg0KlxwD6d+I26a7izqPTKR0fenakgKvl+ubQAfUE1j1g0wZ5Ak5sR0T
oHwpwg98/6MgEurbvFVVCqqna4NlWcFTP5fT</vt:lpwstr>
  </property>
  <property fmtid="{D5CDD505-2E9C-101B-9397-08002B2CF9AE}" pid="4" name="_2015_ms_pID_7253432">
    <vt:lpwstr>rQCgRZRiA5BruqtQqHgO951V3ZWy9TvJStyj
kcyWmuw6jzbQE9jDdzstlS00IVDVpv+Mb8ROrzMKhN+OXJGw1Cs=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1458001975</vt:lpwstr>
  </property>
  <property fmtid="{D5CDD505-2E9C-101B-9397-08002B2CF9AE}" pid="9" name="KSOProductBuildVer">
    <vt:lpwstr>2052-11.1.0.9929</vt:lpwstr>
  </property>
</Properties>
</file>